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B9C610">
      <w:pPr>
        <w:adjustRightInd w:val="0"/>
        <w:snapToGrid w:val="0"/>
        <w:jc w:val="center"/>
        <w:outlineLvl w:val="0"/>
        <w:rPr>
          <w:rFonts w:hint="eastAsia" w:ascii="微软雅黑" w:hAnsi="微软雅黑" w:eastAsia="微软雅黑"/>
          <w:b/>
          <w:bCs/>
          <w:szCs w:val="21"/>
        </w:rPr>
      </w:pPr>
      <w:r>
        <w:rPr>
          <w:rFonts w:hint="eastAsia" w:ascii="微软雅黑" w:hAnsi="微软雅黑" w:eastAsia="微软雅黑"/>
          <w:b/>
          <w:bCs/>
          <w:szCs w:val="21"/>
        </w:rPr>
        <w:t>投保须知</w:t>
      </w:r>
    </w:p>
    <w:p w14:paraId="7BF01BAA">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产品责任</w:t>
      </w:r>
    </w:p>
    <w:p w14:paraId="5C193050">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rPr>
      </w:pPr>
      <w:bookmarkStart w:id="0" w:name="_Hlk88049518"/>
      <w:r>
        <w:rPr>
          <w:rFonts w:hint="eastAsia" w:ascii="微软雅黑" w:hAnsi="微软雅黑" w:eastAsia="微软雅黑"/>
          <w:b/>
          <w:bCs/>
          <w:szCs w:val="21"/>
        </w:rPr>
        <w:t>尊享e生·中高端医疗保险P</w:t>
      </w:r>
      <w:r>
        <w:rPr>
          <w:rFonts w:ascii="微软雅黑" w:hAnsi="微软雅黑" w:eastAsia="微软雅黑"/>
          <w:b/>
          <w:bCs/>
          <w:szCs w:val="21"/>
        </w:rPr>
        <w:t>LUS</w:t>
      </w:r>
      <w:r>
        <w:rPr>
          <w:rFonts w:hint="eastAsia" w:ascii="微软雅黑" w:hAnsi="微软雅黑" w:eastAsia="微软雅黑"/>
          <w:b/>
          <w:bCs/>
          <w:szCs w:val="21"/>
        </w:rPr>
        <w:t xml:space="preserve"> 2025版（必选计划）：</w:t>
      </w:r>
    </w:p>
    <w:p w14:paraId="3112A01A">
      <w:pPr>
        <w:pStyle w:val="12"/>
        <w:numPr>
          <w:ilvl w:val="0"/>
          <w:numId w:val="3"/>
        </w:numPr>
        <w:adjustRightInd w:val="0"/>
        <w:snapToGrid w:val="0"/>
        <w:spacing w:before="62" w:beforeLines="20"/>
        <w:ind w:firstLineChars="0"/>
        <w:rPr>
          <w:rFonts w:hint="eastAsia" w:ascii="微软雅黑" w:hAnsi="微软雅黑" w:eastAsia="微软雅黑"/>
          <w:b/>
          <w:szCs w:val="21"/>
        </w:rPr>
      </w:pPr>
      <w:r>
        <w:rPr>
          <w:rFonts w:hint="eastAsia" w:ascii="微软雅黑" w:hAnsi="微软雅黑" w:eastAsia="微软雅黑" w:cs="微软雅黑"/>
          <w:b/>
          <w:color w:val="000000"/>
          <w:szCs w:val="21"/>
        </w:rPr>
        <w:t>医院就诊范围：</w:t>
      </w:r>
    </w:p>
    <w:tbl>
      <w:tblPr>
        <w:tblStyle w:val="8"/>
        <w:tblW w:w="10632" w:type="dxa"/>
        <w:tblInd w:w="-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2552"/>
        <w:gridCol w:w="1984"/>
        <w:gridCol w:w="1980"/>
        <w:gridCol w:w="2414"/>
      </w:tblGrid>
      <w:tr w14:paraId="452E3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2" w:type="dxa"/>
            <w:vMerge w:val="restart"/>
            <w:vAlign w:val="center"/>
          </w:tcPr>
          <w:p w14:paraId="7661B70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医疗机构范围</w:t>
            </w:r>
          </w:p>
        </w:tc>
        <w:tc>
          <w:tcPr>
            <w:tcW w:w="6516" w:type="dxa"/>
            <w:gridSpan w:val="3"/>
            <w:vAlign w:val="center"/>
          </w:tcPr>
          <w:p w14:paraId="664154BC">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中国境内大陆地区（不包括港澳台地区）</w:t>
            </w:r>
          </w:p>
        </w:tc>
        <w:tc>
          <w:tcPr>
            <w:tcW w:w="2414" w:type="dxa"/>
            <w:vAlign w:val="center"/>
          </w:tcPr>
          <w:p w14:paraId="735CAB8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中国港澳台地区及境外</w:t>
            </w:r>
          </w:p>
        </w:tc>
      </w:tr>
      <w:tr w14:paraId="2ABC0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2" w:type="dxa"/>
            <w:vMerge w:val="continue"/>
          </w:tcPr>
          <w:p w14:paraId="4840CC32">
            <w:pPr>
              <w:pStyle w:val="12"/>
              <w:adjustRightInd w:val="0"/>
              <w:snapToGrid w:val="0"/>
              <w:ind w:firstLine="0" w:firstLineChars="0"/>
              <w:rPr>
                <w:rFonts w:hint="eastAsia" w:ascii="微软雅黑" w:hAnsi="微软雅黑" w:eastAsia="微软雅黑"/>
                <w:b/>
                <w:bCs/>
                <w:szCs w:val="21"/>
              </w:rPr>
            </w:pPr>
          </w:p>
        </w:tc>
        <w:tc>
          <w:tcPr>
            <w:tcW w:w="2552" w:type="dxa"/>
            <w:vAlign w:val="center"/>
          </w:tcPr>
          <w:p w14:paraId="78E66457">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中华人民共和国卫生部门审核认定的、当地基本医疗保险管理机构最新公布的二级及二级以上的定点医院</w:t>
            </w:r>
            <w:r>
              <w:rPr>
                <w:rFonts w:hint="eastAsia" w:ascii="微软雅黑" w:hAnsi="微软雅黑" w:eastAsia="微软雅黑"/>
                <w:b/>
                <w:bCs/>
                <w:sz w:val="24"/>
                <w:vertAlign w:val="superscript"/>
              </w:rPr>
              <w:t>注①</w:t>
            </w:r>
          </w:p>
        </w:tc>
        <w:tc>
          <w:tcPr>
            <w:tcW w:w="1984" w:type="dxa"/>
            <w:vAlign w:val="center"/>
          </w:tcPr>
          <w:p w14:paraId="52C35A9E">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扩展承保的</w:t>
            </w:r>
          </w:p>
          <w:p w14:paraId="39A45711">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指定私立医院</w:t>
            </w:r>
            <w:r>
              <w:rPr>
                <w:rFonts w:hint="eastAsia" w:ascii="微软雅黑" w:hAnsi="微软雅黑" w:eastAsia="微软雅黑"/>
                <w:b/>
                <w:bCs/>
                <w:sz w:val="24"/>
                <w:vertAlign w:val="superscript"/>
              </w:rPr>
              <w:t>注①</w:t>
            </w:r>
          </w:p>
        </w:tc>
        <w:tc>
          <w:tcPr>
            <w:tcW w:w="1980" w:type="dxa"/>
            <w:vAlign w:val="center"/>
          </w:tcPr>
          <w:p w14:paraId="112440DC">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除外医疗机构</w:t>
            </w:r>
          </w:p>
          <w:p w14:paraId="70ACEB95">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清单</w:t>
            </w:r>
            <w:r>
              <w:rPr>
                <w:rFonts w:hint="eastAsia" w:ascii="微软雅黑" w:hAnsi="微软雅黑" w:eastAsia="微软雅黑"/>
                <w:b/>
                <w:bCs/>
                <w:sz w:val="24"/>
                <w:vertAlign w:val="superscript"/>
              </w:rPr>
              <w:t>注②</w:t>
            </w:r>
          </w:p>
        </w:tc>
        <w:tc>
          <w:tcPr>
            <w:tcW w:w="2414" w:type="dxa"/>
            <w:vAlign w:val="center"/>
          </w:tcPr>
          <w:p w14:paraId="4DE68A3C">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特定疾病扩展</w:t>
            </w:r>
          </w:p>
          <w:p w14:paraId="118B4EE7">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香港、日本、美国的</w:t>
            </w:r>
          </w:p>
          <w:p w14:paraId="34D6AD1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指定私立医院</w:t>
            </w:r>
          </w:p>
        </w:tc>
      </w:tr>
      <w:tr w14:paraId="50F79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19425498">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必选计划一</w:t>
            </w:r>
          </w:p>
        </w:tc>
        <w:tc>
          <w:tcPr>
            <w:tcW w:w="2552" w:type="dxa"/>
            <w:vMerge w:val="restart"/>
            <w:vAlign w:val="center"/>
          </w:tcPr>
          <w:p w14:paraId="20B400B8">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含</w:t>
            </w:r>
          </w:p>
        </w:tc>
        <w:tc>
          <w:tcPr>
            <w:tcW w:w="1984" w:type="dxa"/>
            <w:shd w:val="clear" w:color="auto" w:fill="7E7E7E" w:themeFill="text1" w:themeFillTint="80"/>
            <w:vAlign w:val="center"/>
          </w:tcPr>
          <w:p w14:paraId="348C60D8">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c>
          <w:tcPr>
            <w:tcW w:w="1980" w:type="dxa"/>
            <w:vMerge w:val="restart"/>
            <w:vAlign w:val="center"/>
          </w:tcPr>
          <w:p w14:paraId="086C1BAF">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有除外，见《扩展承保及除外医疗机构清单》</w:t>
            </w:r>
          </w:p>
        </w:tc>
        <w:tc>
          <w:tcPr>
            <w:tcW w:w="2414" w:type="dxa"/>
            <w:shd w:val="clear" w:color="auto" w:fill="7E7E7E" w:themeFill="text1" w:themeFillTint="80"/>
            <w:vAlign w:val="center"/>
          </w:tcPr>
          <w:p w14:paraId="366EBA8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r>
      <w:tr w14:paraId="3B541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44CE8645">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必选计划二</w:t>
            </w:r>
          </w:p>
        </w:tc>
        <w:tc>
          <w:tcPr>
            <w:tcW w:w="2552" w:type="dxa"/>
            <w:vMerge w:val="continue"/>
            <w:vAlign w:val="center"/>
          </w:tcPr>
          <w:p w14:paraId="4201CBCD">
            <w:pPr>
              <w:pStyle w:val="12"/>
              <w:adjustRightInd w:val="0"/>
              <w:snapToGrid w:val="0"/>
              <w:ind w:firstLine="0" w:firstLineChars="0"/>
              <w:jc w:val="center"/>
              <w:rPr>
                <w:rFonts w:hint="eastAsia" w:ascii="微软雅黑" w:hAnsi="微软雅黑" w:eastAsia="微软雅黑"/>
                <w:b/>
                <w:bCs/>
                <w:szCs w:val="21"/>
              </w:rPr>
            </w:pPr>
          </w:p>
        </w:tc>
        <w:tc>
          <w:tcPr>
            <w:tcW w:w="1984" w:type="dxa"/>
            <w:vAlign w:val="center"/>
          </w:tcPr>
          <w:p w14:paraId="59F43CEE">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含</w:t>
            </w:r>
          </w:p>
        </w:tc>
        <w:tc>
          <w:tcPr>
            <w:tcW w:w="1980" w:type="dxa"/>
            <w:vMerge w:val="continue"/>
            <w:vAlign w:val="center"/>
          </w:tcPr>
          <w:p w14:paraId="09D25EEA">
            <w:pPr>
              <w:pStyle w:val="12"/>
              <w:adjustRightInd w:val="0"/>
              <w:snapToGrid w:val="0"/>
              <w:ind w:firstLine="0" w:firstLineChars="0"/>
              <w:jc w:val="center"/>
              <w:rPr>
                <w:rFonts w:hint="eastAsia" w:ascii="微软雅黑" w:hAnsi="微软雅黑" w:eastAsia="微软雅黑"/>
                <w:b/>
                <w:bCs/>
                <w:szCs w:val="21"/>
              </w:rPr>
            </w:pPr>
          </w:p>
        </w:tc>
        <w:tc>
          <w:tcPr>
            <w:tcW w:w="2414" w:type="dxa"/>
            <w:vAlign w:val="center"/>
          </w:tcPr>
          <w:p w14:paraId="668FF26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含</w:t>
            </w:r>
          </w:p>
        </w:tc>
      </w:tr>
      <w:tr w14:paraId="5B984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249D0CA5">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门急诊加油包A</w:t>
            </w:r>
          </w:p>
        </w:tc>
        <w:tc>
          <w:tcPr>
            <w:tcW w:w="2552" w:type="dxa"/>
            <w:vMerge w:val="continue"/>
            <w:vAlign w:val="center"/>
          </w:tcPr>
          <w:p w14:paraId="37FAE584">
            <w:pPr>
              <w:pStyle w:val="12"/>
              <w:adjustRightInd w:val="0"/>
              <w:snapToGrid w:val="0"/>
              <w:ind w:firstLine="0" w:firstLineChars="0"/>
              <w:jc w:val="center"/>
              <w:rPr>
                <w:rFonts w:hint="eastAsia" w:ascii="微软雅黑" w:hAnsi="微软雅黑" w:eastAsia="微软雅黑"/>
                <w:b/>
                <w:bCs/>
                <w:szCs w:val="21"/>
              </w:rPr>
            </w:pPr>
          </w:p>
        </w:tc>
        <w:tc>
          <w:tcPr>
            <w:tcW w:w="1984" w:type="dxa"/>
            <w:shd w:val="clear" w:color="auto" w:fill="7E7E7E" w:themeFill="text1" w:themeFillTint="80"/>
            <w:vAlign w:val="center"/>
          </w:tcPr>
          <w:p w14:paraId="2F43CF0C">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c>
          <w:tcPr>
            <w:tcW w:w="1980" w:type="dxa"/>
            <w:vMerge w:val="continue"/>
            <w:vAlign w:val="center"/>
          </w:tcPr>
          <w:p w14:paraId="576ACDE2">
            <w:pPr>
              <w:pStyle w:val="12"/>
              <w:adjustRightInd w:val="0"/>
              <w:snapToGrid w:val="0"/>
              <w:ind w:firstLine="0" w:firstLineChars="0"/>
              <w:jc w:val="center"/>
              <w:rPr>
                <w:rFonts w:hint="eastAsia" w:ascii="微软雅黑" w:hAnsi="微软雅黑" w:eastAsia="微软雅黑"/>
                <w:b/>
                <w:bCs/>
                <w:szCs w:val="21"/>
              </w:rPr>
            </w:pPr>
          </w:p>
        </w:tc>
        <w:tc>
          <w:tcPr>
            <w:tcW w:w="2414" w:type="dxa"/>
            <w:shd w:val="clear" w:color="auto" w:fill="7E7E7E" w:themeFill="text1" w:themeFillTint="80"/>
            <w:vAlign w:val="center"/>
          </w:tcPr>
          <w:p w14:paraId="37693EBA">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r>
      <w:tr w14:paraId="606FD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7BF902FA">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门急诊加油包B</w:t>
            </w:r>
          </w:p>
        </w:tc>
        <w:tc>
          <w:tcPr>
            <w:tcW w:w="2552" w:type="dxa"/>
            <w:vMerge w:val="continue"/>
            <w:vAlign w:val="center"/>
          </w:tcPr>
          <w:p w14:paraId="1AF41D9E">
            <w:pPr>
              <w:pStyle w:val="12"/>
              <w:adjustRightInd w:val="0"/>
              <w:snapToGrid w:val="0"/>
              <w:ind w:firstLine="0" w:firstLineChars="0"/>
              <w:jc w:val="center"/>
              <w:rPr>
                <w:rFonts w:hint="eastAsia" w:ascii="微软雅黑" w:hAnsi="微软雅黑" w:eastAsia="微软雅黑"/>
                <w:b/>
                <w:bCs/>
                <w:szCs w:val="21"/>
              </w:rPr>
            </w:pPr>
          </w:p>
        </w:tc>
        <w:tc>
          <w:tcPr>
            <w:tcW w:w="1984" w:type="dxa"/>
            <w:vAlign w:val="center"/>
          </w:tcPr>
          <w:p w14:paraId="22210659">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含</w:t>
            </w:r>
          </w:p>
        </w:tc>
        <w:tc>
          <w:tcPr>
            <w:tcW w:w="1980" w:type="dxa"/>
            <w:vMerge w:val="continue"/>
            <w:vAlign w:val="center"/>
          </w:tcPr>
          <w:p w14:paraId="67FD56E7">
            <w:pPr>
              <w:pStyle w:val="12"/>
              <w:adjustRightInd w:val="0"/>
              <w:snapToGrid w:val="0"/>
              <w:ind w:firstLine="0" w:firstLineChars="0"/>
              <w:jc w:val="center"/>
              <w:rPr>
                <w:rFonts w:hint="eastAsia" w:ascii="微软雅黑" w:hAnsi="微软雅黑" w:eastAsia="微软雅黑"/>
                <w:b/>
                <w:bCs/>
                <w:szCs w:val="21"/>
              </w:rPr>
            </w:pPr>
          </w:p>
        </w:tc>
        <w:tc>
          <w:tcPr>
            <w:tcW w:w="2414" w:type="dxa"/>
            <w:shd w:val="clear" w:color="auto" w:fill="7E7E7E" w:themeFill="text1" w:themeFillTint="80"/>
            <w:vAlign w:val="center"/>
          </w:tcPr>
          <w:p w14:paraId="7CFBBC33">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r>
      <w:tr w14:paraId="603A5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3E0C0ECB">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昂贵医院加油包</w:t>
            </w:r>
          </w:p>
        </w:tc>
        <w:tc>
          <w:tcPr>
            <w:tcW w:w="6516" w:type="dxa"/>
            <w:gridSpan w:val="3"/>
            <w:vAlign w:val="center"/>
          </w:tcPr>
          <w:p w14:paraId="0A142BA3">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经中华人民共和国卫生部门审核认定的所有医院</w:t>
            </w:r>
          </w:p>
        </w:tc>
        <w:tc>
          <w:tcPr>
            <w:tcW w:w="2414" w:type="dxa"/>
            <w:shd w:val="clear" w:color="auto" w:fill="7E7E7E" w:themeFill="text1" w:themeFillTint="80"/>
            <w:vAlign w:val="center"/>
          </w:tcPr>
          <w:p w14:paraId="42DAD56C">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r>
      <w:tr w14:paraId="65889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02" w:type="dxa"/>
            <w:vAlign w:val="center"/>
          </w:tcPr>
          <w:p w14:paraId="35C72DEE">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门急诊加油包B昂贵医院加油包</w:t>
            </w:r>
          </w:p>
          <w:p w14:paraId="46D46449">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（同时加购）</w:t>
            </w:r>
          </w:p>
        </w:tc>
        <w:tc>
          <w:tcPr>
            <w:tcW w:w="6516" w:type="dxa"/>
            <w:gridSpan w:val="3"/>
            <w:vAlign w:val="center"/>
          </w:tcPr>
          <w:p w14:paraId="5D182F71">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经中华人民共和国卫生部门审核认定的所有医院</w:t>
            </w:r>
          </w:p>
        </w:tc>
        <w:tc>
          <w:tcPr>
            <w:tcW w:w="2414" w:type="dxa"/>
            <w:shd w:val="clear" w:color="auto" w:fill="7E7E7E" w:themeFill="text1" w:themeFillTint="80"/>
            <w:vAlign w:val="center"/>
          </w:tcPr>
          <w:p w14:paraId="03E0E39D">
            <w:pPr>
              <w:pStyle w:val="12"/>
              <w:adjustRightInd w:val="0"/>
              <w:snapToGrid w:val="0"/>
              <w:ind w:firstLine="0" w:firstLineChars="0"/>
              <w:jc w:val="center"/>
              <w:rPr>
                <w:rFonts w:hint="eastAsia" w:ascii="微软雅黑" w:hAnsi="微软雅黑" w:eastAsia="微软雅黑"/>
                <w:b/>
                <w:bCs/>
                <w:szCs w:val="21"/>
              </w:rPr>
            </w:pPr>
            <w:r>
              <w:rPr>
                <w:rFonts w:hint="eastAsia" w:ascii="微软雅黑" w:hAnsi="微软雅黑" w:eastAsia="微软雅黑"/>
                <w:b/>
                <w:bCs/>
                <w:szCs w:val="21"/>
              </w:rPr>
              <w:t>不含</w:t>
            </w:r>
          </w:p>
        </w:tc>
      </w:tr>
    </w:tbl>
    <w:p w14:paraId="6DEE681E">
      <w:pPr>
        <w:pStyle w:val="12"/>
        <w:numPr>
          <w:ilvl w:val="0"/>
          <w:numId w:val="4"/>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注①：普通部、特需部、国际部、VIP部（不包括观察室、联合病房和康复病房）</w:t>
      </w:r>
    </w:p>
    <w:p w14:paraId="0C91F8C6">
      <w:pPr>
        <w:pStyle w:val="12"/>
        <w:numPr>
          <w:ilvl w:val="0"/>
          <w:numId w:val="4"/>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注②：在保险期间内，我们保留对《扩展承保及除外医疗机构清单》进行变更的权利，具体以保险人在官方正式渠道（包括但不限于官网、官微）公布或通知为准。除外医疗机构查询方式：您可以通过登录众安保险官方网站——公开信息披露——专项信息——短期健康险特定清单中查询《尊享e生·中高端医疗系列-除外医疗机构》查询。</w:t>
      </w:r>
    </w:p>
    <w:p w14:paraId="137E2AA1">
      <w:pPr>
        <w:pStyle w:val="12"/>
        <w:adjustRightInd w:val="0"/>
        <w:snapToGrid w:val="0"/>
        <w:ind w:left="420" w:firstLine="0" w:firstLineChars="0"/>
        <w:jc w:val="left"/>
        <w:rPr>
          <w:rFonts w:hint="eastAsia" w:ascii="微软雅黑" w:hAnsi="微软雅黑" w:eastAsia="微软雅黑"/>
          <w:b/>
          <w:bCs/>
          <w:szCs w:val="21"/>
        </w:rPr>
      </w:pPr>
      <w:r>
        <w:rPr>
          <w:rFonts w:hint="eastAsia" w:ascii="微软雅黑" w:hAnsi="微软雅黑" w:eastAsia="微软雅黑"/>
          <w:b/>
          <w:bCs/>
          <w:szCs w:val="21"/>
        </w:rPr>
        <w:t>查询链接：https://www.zhongan.com/channel/public/publicInfo_dqjkbx2021.html</w:t>
      </w:r>
    </w:p>
    <w:p w14:paraId="08138A25">
      <w:pPr>
        <w:pStyle w:val="12"/>
        <w:numPr>
          <w:ilvl w:val="0"/>
          <w:numId w:val="4"/>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意外紧急牙齿门急诊医疗费用保险金、全球紧急救援服务保险金及紧急门急诊医疗费用保险金（如有）：该责任保障内容不受保障区域限制。</w:t>
      </w:r>
    </w:p>
    <w:p w14:paraId="6BDD77DE">
      <w:pPr>
        <w:pStyle w:val="12"/>
        <w:adjustRightInd w:val="0"/>
        <w:snapToGrid w:val="0"/>
        <w:ind w:firstLine="0" w:firstLineChars="0"/>
        <w:rPr>
          <w:rFonts w:hint="eastAsia" w:ascii="微软雅黑" w:hAnsi="微软雅黑" w:eastAsia="微软雅黑"/>
          <w:b/>
          <w:bCs/>
          <w:szCs w:val="21"/>
        </w:rPr>
      </w:pPr>
    </w:p>
    <w:p w14:paraId="67B26A62">
      <w:pPr>
        <w:pStyle w:val="12"/>
        <w:numPr>
          <w:ilvl w:val="0"/>
          <w:numId w:val="3"/>
        </w:numPr>
        <w:adjustRightInd w:val="0"/>
        <w:snapToGrid w:val="0"/>
        <w:spacing w:before="62" w:beforeLines="20"/>
        <w:ind w:firstLineChars="0"/>
        <w:rPr>
          <w:rFonts w:hint="eastAsia" w:ascii="微软雅黑" w:hAnsi="微软雅黑" w:eastAsia="微软雅黑"/>
          <w:b/>
          <w:szCs w:val="21"/>
        </w:rPr>
      </w:pPr>
      <w:r>
        <w:rPr>
          <w:rFonts w:hint="eastAsia" w:ascii="微软雅黑" w:hAnsi="微软雅黑" w:eastAsia="微软雅黑" w:cs="微软雅黑"/>
          <w:b/>
          <w:color w:val="000000"/>
          <w:szCs w:val="21"/>
        </w:rPr>
        <w:t>一般医疗责任</w:t>
      </w:r>
    </w:p>
    <w:p w14:paraId="64D0F1AA">
      <w:pPr>
        <w:pStyle w:val="12"/>
        <w:numPr>
          <w:ilvl w:val="0"/>
          <w:numId w:val="5"/>
        </w:numPr>
        <w:adjustRightInd w:val="0"/>
        <w:snapToGrid w:val="0"/>
        <w:ind w:firstLineChars="0"/>
        <w:rPr>
          <w:rFonts w:hint="eastAsia" w:ascii="微软雅黑" w:hAnsi="微软雅黑" w:eastAsia="微软雅黑"/>
          <w:szCs w:val="21"/>
        </w:rPr>
      </w:pPr>
      <w:bookmarkStart w:id="1" w:name="_Hlk112854964"/>
      <w:r>
        <w:rPr>
          <w:rFonts w:hint="eastAsia" w:ascii="微软雅黑" w:hAnsi="微软雅黑" w:eastAsia="微软雅黑"/>
          <w:szCs w:val="21"/>
        </w:rPr>
        <w:t>在保险期间内，被保险人因遭受意外伤害事故或在等待期30天后因患疾病，在以下就诊医院范围内发生的，需个人支付的，必须且合理的一般医疗费用：</w:t>
      </w:r>
    </w:p>
    <w:p w14:paraId="42A826F0">
      <w:pPr>
        <w:pStyle w:val="12"/>
        <w:numPr>
          <w:ilvl w:val="0"/>
          <w:numId w:val="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bookmarkEnd w:id="1"/>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的普通部、特需部、国际部、VIP部（不包括观察室、联合病房和康复病房）；</w:t>
      </w:r>
    </w:p>
    <w:p w14:paraId="598E0F33">
      <w:pPr>
        <w:pStyle w:val="12"/>
        <w:numPr>
          <w:ilvl w:val="0"/>
          <w:numId w:val="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及本保单约定的指定私立医院的普通部、特需部、国际部、VIP部（不包括观察室、联合病房和康复病房）。</w:t>
      </w:r>
    </w:p>
    <w:p w14:paraId="47EAB043">
      <w:pPr>
        <w:pStyle w:val="12"/>
        <w:numPr>
          <w:ilvl w:val="0"/>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一般医疗费用包括：住院医疗费用、特殊门诊医疗费用、门诊手术医疗费用、住院前30天和出院后30天门急诊医疗费用和出院后特别关怀费用；</w:t>
      </w:r>
    </w:p>
    <w:p w14:paraId="1178C379">
      <w:pPr>
        <w:pStyle w:val="12"/>
        <w:numPr>
          <w:ilvl w:val="0"/>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保险人在扣除下述对应计划约定的年免赔额后，按下述对应计划约定的赔付比例给付本项保险金，保单年度内累计给付以下述对应计划的保额为限：</w:t>
      </w:r>
    </w:p>
    <w:p w14:paraId="47E6B330">
      <w:pPr>
        <w:pStyle w:val="12"/>
        <w:numPr>
          <w:ilvl w:val="1"/>
          <w:numId w:val="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：免赔额为0元、</w:t>
      </w:r>
      <w:r>
        <w:rPr>
          <w:rFonts w:ascii="微软雅黑" w:hAnsi="微软雅黑" w:eastAsia="微软雅黑"/>
          <w:szCs w:val="21"/>
        </w:rPr>
        <w:t>1.5</w:t>
      </w:r>
      <w:r>
        <w:rPr>
          <w:rFonts w:hint="eastAsia" w:ascii="微软雅黑" w:hAnsi="微软雅黑" w:eastAsia="微软雅黑"/>
          <w:szCs w:val="21"/>
        </w:rPr>
        <w:t>万元或3万元，赔付比例为1</w:t>
      </w:r>
      <w:r>
        <w:rPr>
          <w:rFonts w:ascii="微软雅黑" w:hAnsi="微软雅黑" w:eastAsia="微软雅黑"/>
          <w:szCs w:val="21"/>
        </w:rPr>
        <w:t>00%</w:t>
      </w:r>
      <w:r>
        <w:rPr>
          <w:rFonts w:hint="eastAsia" w:ascii="微软雅黑" w:hAnsi="微软雅黑" w:eastAsia="微软雅黑"/>
          <w:szCs w:val="21"/>
        </w:rPr>
        <w:t>，保额为6</w:t>
      </w:r>
      <w:r>
        <w:rPr>
          <w:rFonts w:ascii="微软雅黑" w:hAnsi="微软雅黑" w:eastAsia="微软雅黑"/>
          <w:szCs w:val="21"/>
        </w:rPr>
        <w:t>00</w:t>
      </w:r>
      <w:r>
        <w:rPr>
          <w:rFonts w:hint="eastAsia" w:ascii="微软雅黑" w:hAnsi="微软雅黑" w:eastAsia="微软雅黑"/>
          <w:szCs w:val="21"/>
        </w:rPr>
        <w:t>万元。</w:t>
      </w:r>
    </w:p>
    <w:p w14:paraId="71FF7741">
      <w:pPr>
        <w:pStyle w:val="12"/>
        <w:numPr>
          <w:ilvl w:val="1"/>
          <w:numId w:val="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：免赔额为0元、</w:t>
      </w:r>
      <w:r>
        <w:rPr>
          <w:rFonts w:ascii="微软雅黑" w:hAnsi="微软雅黑" w:eastAsia="微软雅黑"/>
          <w:szCs w:val="21"/>
        </w:rPr>
        <w:t>1.5</w:t>
      </w:r>
      <w:r>
        <w:rPr>
          <w:rFonts w:hint="eastAsia" w:ascii="微软雅黑" w:hAnsi="微软雅黑" w:eastAsia="微软雅黑"/>
          <w:szCs w:val="21"/>
        </w:rPr>
        <w:t>万元或3万元，本保单约定的四家和睦家医疗集团下医疗机构的赔付比例为7</w:t>
      </w:r>
      <w:r>
        <w:rPr>
          <w:rFonts w:ascii="微软雅黑" w:hAnsi="微软雅黑" w:eastAsia="微软雅黑"/>
          <w:szCs w:val="21"/>
        </w:rPr>
        <w:t>0%</w:t>
      </w:r>
      <w:r>
        <w:rPr>
          <w:rFonts w:hint="eastAsia" w:ascii="微软雅黑" w:hAnsi="微软雅黑" w:eastAsia="微软雅黑"/>
          <w:szCs w:val="21"/>
        </w:rPr>
        <w:t>，其余医院的赔付比例为1</w:t>
      </w:r>
      <w:r>
        <w:rPr>
          <w:rFonts w:ascii="微软雅黑" w:hAnsi="微软雅黑" w:eastAsia="微软雅黑"/>
          <w:szCs w:val="21"/>
        </w:rPr>
        <w:t>00%</w:t>
      </w:r>
      <w:r>
        <w:rPr>
          <w:rFonts w:hint="eastAsia" w:ascii="微软雅黑" w:hAnsi="微软雅黑" w:eastAsia="微软雅黑"/>
          <w:szCs w:val="21"/>
        </w:rPr>
        <w:t>，保额为8</w:t>
      </w:r>
      <w:r>
        <w:rPr>
          <w:rFonts w:ascii="微软雅黑" w:hAnsi="微软雅黑" w:eastAsia="微软雅黑"/>
          <w:szCs w:val="21"/>
        </w:rPr>
        <w:t>00</w:t>
      </w:r>
      <w:r>
        <w:rPr>
          <w:rFonts w:hint="eastAsia" w:ascii="微软雅黑" w:hAnsi="微软雅黑" w:eastAsia="微软雅黑"/>
          <w:szCs w:val="21"/>
        </w:rPr>
        <w:t>万元；</w:t>
      </w:r>
    </w:p>
    <w:p w14:paraId="5EFD2414">
      <w:pPr>
        <w:pStyle w:val="12"/>
        <w:numPr>
          <w:ilvl w:val="1"/>
          <w:numId w:val="7"/>
        </w:numPr>
        <w:adjustRightInd w:val="0"/>
        <w:snapToGrid w:val="0"/>
        <w:ind w:firstLineChars="0"/>
        <w:rPr>
          <w:rFonts w:hint="eastAsia" w:ascii="微软雅黑" w:hAnsi="微软雅黑" w:eastAsia="微软雅黑"/>
          <w:szCs w:val="21"/>
        </w:rPr>
      </w:pPr>
      <w:bookmarkStart w:id="2" w:name="_Hlk127203040"/>
      <w:r>
        <w:rPr>
          <w:rFonts w:hint="eastAsia" w:ascii="微软雅黑" w:hAnsi="微软雅黑" w:eastAsia="微软雅黑"/>
          <w:szCs w:val="21"/>
        </w:rPr>
        <w:t>若被保险人在保险期间内因遭受意外伤害事故或在等待期后经医院初次确诊罹患疾病，在限经中华人民共和国卫生部门审核认定的、当地基本医疗保险管理机构最新公布的二级及二级以上的定点医院（但不包括《扩展承保及除外医疗机构清单》中的除外医疗机构）的普通部接受治疗时，保险人在给付一般医疗保险金时不扣除一般医疗保险金约定的免赔额。</w:t>
      </w:r>
    </w:p>
    <w:p w14:paraId="7A39AFFC">
      <w:pPr>
        <w:pStyle w:val="12"/>
        <w:numPr>
          <w:ilvl w:val="1"/>
          <w:numId w:val="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具体投保计划的免赔额</w:t>
      </w:r>
      <w:r>
        <w:rPr>
          <w:rFonts w:hint="eastAsia" w:ascii="微软雅黑" w:hAnsi="微软雅黑" w:eastAsia="微软雅黑"/>
          <w:szCs w:val="21"/>
        </w:rPr>
        <w:t>由投保人在投保时选择，并在本保单中载明</w:t>
      </w:r>
    </w:p>
    <w:p w14:paraId="17719F92">
      <w:pPr>
        <w:pStyle w:val="12"/>
        <w:numPr>
          <w:ilvl w:val="1"/>
          <w:numId w:val="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本保单的免赔额是指被保险人在保险期间内发生的、虽然属于本合同保险责任范围内的医疗费用，但依照本合同约定仍旧由被保险人自行承担，本合同不予赔付的金额。只有当保险期间内的免赔额因以下</w:t>
      </w:r>
      <w:r>
        <w:rPr>
          <w:rFonts w:hint="eastAsia" w:ascii="微软雅黑" w:hAnsi="微软雅黑" w:eastAsia="微软雅黑"/>
          <w:b/>
          <w:bCs/>
          <w:szCs w:val="21"/>
          <w:u w:val="single"/>
        </w:rPr>
        <w:t>三种情况</w:t>
      </w:r>
      <w:r>
        <w:rPr>
          <w:rFonts w:hint="eastAsia" w:ascii="微软雅黑" w:hAnsi="微软雅黑" w:eastAsia="微软雅黑"/>
          <w:szCs w:val="21"/>
        </w:rPr>
        <w:t>抵扣完毕时，保险人才开始按照约定承担赔付责任：</w:t>
      </w:r>
    </w:p>
    <w:p w14:paraId="7D037183">
      <w:pPr>
        <w:pStyle w:val="12"/>
        <w:numPr>
          <w:ilvl w:val="1"/>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被保险人自行承担的属于本合同保险责任范围内的医疗费用，包括其基本医疗保险个人账户支出的医疗费用及通过基本医疗保险和公费医疗保险获得的补偿；</w:t>
      </w:r>
    </w:p>
    <w:p w14:paraId="532FF7CC">
      <w:pPr>
        <w:pStyle w:val="12"/>
        <w:numPr>
          <w:ilvl w:val="1"/>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从基本医疗保险和公费医疗保险之外的其他途径获得的属于本合同保险责任范围内的医疗费用补偿；</w:t>
      </w:r>
    </w:p>
    <w:p w14:paraId="08CF1001">
      <w:pPr>
        <w:pStyle w:val="12"/>
        <w:numPr>
          <w:ilvl w:val="1"/>
          <w:numId w:val="8"/>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通过基本医疗保险和公费医疗保险获得的补偿</w:t>
      </w:r>
      <w:r>
        <w:rPr>
          <w:rFonts w:hint="eastAsia" w:ascii="微软雅黑" w:hAnsi="微软雅黑" w:eastAsia="微软雅黑"/>
          <w:b/>
          <w:bCs/>
          <w:szCs w:val="21"/>
          <w:u w:val="single"/>
        </w:rPr>
        <w:t>可以用于抵扣免赔额</w:t>
      </w:r>
      <w:r>
        <w:rPr>
          <w:rFonts w:hint="eastAsia" w:ascii="微软雅黑" w:hAnsi="微软雅黑" w:eastAsia="微软雅黑"/>
          <w:b/>
          <w:bCs/>
          <w:szCs w:val="21"/>
        </w:rPr>
        <w:t>。</w:t>
      </w:r>
    </w:p>
    <w:bookmarkEnd w:id="2"/>
    <w:p w14:paraId="39D7BE4B">
      <w:pPr>
        <w:pStyle w:val="12"/>
        <w:numPr>
          <w:ilvl w:val="0"/>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本产品一般医疗保险责任及特定疾病医疗保险责任项下的以下费用有单独约定：</w:t>
      </w:r>
    </w:p>
    <w:p w14:paraId="24AC2554">
      <w:pPr>
        <w:pStyle w:val="12"/>
        <w:numPr>
          <w:ilvl w:val="1"/>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p>
    <w:p w14:paraId="7B20D86F">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床位费限3,000元/天，陪床费限1,000元/天，且不高于就诊医院标准单人病房标准（不包括套房、家庭病床、豪华房、行政客房）；</w:t>
      </w:r>
    </w:p>
    <w:p w14:paraId="361C211F">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重建手术费每次手术限额</w:t>
      </w:r>
      <w:r>
        <w:rPr>
          <w:rFonts w:ascii="微软雅黑" w:hAnsi="微软雅黑" w:eastAsia="微软雅黑"/>
          <w:szCs w:val="21"/>
        </w:rPr>
        <w:t>10</w:t>
      </w:r>
      <w:r>
        <w:rPr>
          <w:rFonts w:hint="eastAsia" w:ascii="微软雅黑" w:hAnsi="微软雅黑" w:eastAsia="微软雅黑"/>
          <w:szCs w:val="21"/>
        </w:rPr>
        <w:t>万元；</w:t>
      </w:r>
    </w:p>
    <w:p w14:paraId="702F7368">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医疗器械费无单独限额；</w:t>
      </w:r>
    </w:p>
    <w:p w14:paraId="676B521E">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耐用医疗设备费累计限额1</w:t>
      </w:r>
      <w:r>
        <w:rPr>
          <w:rFonts w:ascii="微软雅黑" w:hAnsi="微软雅黑" w:eastAsia="微软雅黑"/>
          <w:szCs w:val="21"/>
        </w:rPr>
        <w:t>0</w:t>
      </w:r>
      <w:r>
        <w:rPr>
          <w:rFonts w:hint="eastAsia" w:ascii="微软雅黑" w:hAnsi="微软雅黑" w:eastAsia="微软雅黑"/>
          <w:szCs w:val="21"/>
        </w:rPr>
        <w:t>万元；</w:t>
      </w:r>
    </w:p>
    <w:p w14:paraId="1B3A3420">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精神和心理障碍治疗费累计限额1</w:t>
      </w:r>
      <w:r>
        <w:rPr>
          <w:rFonts w:ascii="微软雅黑" w:hAnsi="微软雅黑" w:eastAsia="微软雅黑"/>
          <w:szCs w:val="21"/>
        </w:rPr>
        <w:t>0</w:t>
      </w:r>
      <w:r>
        <w:rPr>
          <w:rFonts w:hint="eastAsia" w:ascii="微软雅黑" w:hAnsi="微软雅黑" w:eastAsia="微软雅黑"/>
          <w:szCs w:val="21"/>
        </w:rPr>
        <w:t>万元；</w:t>
      </w:r>
    </w:p>
    <w:p w14:paraId="22EE6055">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出院后特别关怀费用以出院后（含出院当日）60日为限，无单独限额。</w:t>
      </w:r>
    </w:p>
    <w:p w14:paraId="2DF252E7">
      <w:pPr>
        <w:pStyle w:val="12"/>
        <w:numPr>
          <w:ilvl w:val="1"/>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p>
    <w:p w14:paraId="44634055">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床位费无单独限额，陪床费限1,000元/天，且在中华人民共和国境内（不包括香港、澳门及台湾地区）不高于就诊医院标准单人病房标准（不包括套房、家庭病床、豪华房、行政客房），在中华人民共和国境外以及香港、澳门、台湾地区不高于就诊医院双人病房标准（不包括单人病房、套房、家庭病床）；</w:t>
      </w:r>
    </w:p>
    <w:p w14:paraId="2EA7E39B">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重建手术费无单独限额；</w:t>
      </w:r>
    </w:p>
    <w:p w14:paraId="79D38C45">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医疗器械费无单独限额；</w:t>
      </w:r>
    </w:p>
    <w:p w14:paraId="43B92089">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耐用医疗设备费无单独限额；</w:t>
      </w:r>
    </w:p>
    <w:p w14:paraId="30221025">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精神和心理障碍治疗费无单独限额；</w:t>
      </w:r>
    </w:p>
    <w:p w14:paraId="25D23642">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出院后特别关怀费用以出院后（含出院当日）60日为限，无单独限额。</w:t>
      </w:r>
    </w:p>
    <w:p w14:paraId="51FE4B16">
      <w:pPr>
        <w:pStyle w:val="12"/>
        <w:numPr>
          <w:ilvl w:val="0"/>
          <w:numId w:val="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特定疾病医疗责任、外购药品及外购医疗器械费用医疗责任、特定药品费用医疗责任、恶性肿瘤先进疗法医疗责任（如有）、特定疾病异地转诊公共交通费用及住宿费用责任（如有）、特定疾病住院津贴责任（如有）、意外紧急牙齿门急诊医疗费用责任及全球紧急救援服务责任共享保险金额。</w:t>
      </w:r>
    </w:p>
    <w:p w14:paraId="61D6F5A9">
      <w:pPr>
        <w:pStyle w:val="12"/>
        <w:adjustRightInd w:val="0"/>
        <w:snapToGrid w:val="0"/>
        <w:ind w:firstLine="0" w:firstLineChars="0"/>
        <w:rPr>
          <w:rFonts w:hint="eastAsia" w:ascii="微软雅黑" w:hAnsi="微软雅黑" w:eastAsia="微软雅黑"/>
          <w:szCs w:val="21"/>
        </w:rPr>
      </w:pPr>
    </w:p>
    <w:bookmarkEnd w:id="0"/>
    <w:p w14:paraId="15966952">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特定疾病医疗责任</w:t>
      </w:r>
    </w:p>
    <w:p w14:paraId="04A40F34">
      <w:pPr>
        <w:pStyle w:val="12"/>
        <w:numPr>
          <w:ilvl w:val="0"/>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在保险期间内，被保险人因遭受意外伤害事故导致罹患或在等待期30天后初次确诊罹患本合同约定的特定疾病，在以下就诊医院范围内发生的，需个人支付的，必须且合理的特定疾病医疗费用:</w:t>
      </w:r>
    </w:p>
    <w:p w14:paraId="4F5C69F5">
      <w:pPr>
        <w:pStyle w:val="12"/>
        <w:numPr>
          <w:ilvl w:val="0"/>
          <w:numId w:val="1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的普通部、特需部、国际部、VIP部（不包括观察室、联合病房和康复病房）；</w:t>
      </w:r>
    </w:p>
    <w:p w14:paraId="1BBA661A">
      <w:pPr>
        <w:pStyle w:val="12"/>
        <w:numPr>
          <w:ilvl w:val="0"/>
          <w:numId w:val="1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及本保单约定的指定私立医院的普通部、特需部、国际部、VIP部（不包括观察室、联合病房和康复病房）。其中香港、日本、美国的指定私立医院仅适用于特定疾病医疗保险金及特定疾病住院津贴保险金。</w:t>
      </w:r>
    </w:p>
    <w:p w14:paraId="7F2B12CD">
      <w:pPr>
        <w:pStyle w:val="12"/>
        <w:numPr>
          <w:ilvl w:val="0"/>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特定疾病医疗费用包括：特定疾病住院医疗费用、特定疾病特殊门诊医疗费用、特定疾病门诊手术医疗费用、特定疾病住院前30天和出院后30天门急诊医疗费用和特定疾病出院后特别关怀费用；</w:t>
      </w:r>
    </w:p>
    <w:p w14:paraId="327D442D">
      <w:pPr>
        <w:pStyle w:val="12"/>
        <w:numPr>
          <w:ilvl w:val="0"/>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保险人按下述对应计划约定的赔付比例给付本项保险金，保单年度内累计给付以下述对应计划的保额为限：</w:t>
      </w:r>
    </w:p>
    <w:p w14:paraId="0AAD3603">
      <w:pPr>
        <w:pStyle w:val="12"/>
        <w:numPr>
          <w:ilvl w:val="1"/>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：赔付比例为1</w:t>
      </w:r>
      <w:r>
        <w:rPr>
          <w:rFonts w:ascii="微软雅黑" w:hAnsi="微软雅黑" w:eastAsia="微软雅黑"/>
          <w:szCs w:val="21"/>
        </w:rPr>
        <w:t>00%</w:t>
      </w:r>
      <w:r>
        <w:rPr>
          <w:rFonts w:hint="eastAsia" w:ascii="微软雅黑" w:hAnsi="微软雅黑" w:eastAsia="微软雅黑"/>
          <w:szCs w:val="21"/>
        </w:rPr>
        <w:t>，保额为6</w:t>
      </w:r>
      <w:r>
        <w:rPr>
          <w:rFonts w:ascii="微软雅黑" w:hAnsi="微软雅黑" w:eastAsia="微软雅黑"/>
          <w:szCs w:val="21"/>
        </w:rPr>
        <w:t>00</w:t>
      </w:r>
      <w:r>
        <w:rPr>
          <w:rFonts w:hint="eastAsia" w:ascii="微软雅黑" w:hAnsi="微软雅黑" w:eastAsia="微软雅黑"/>
          <w:szCs w:val="21"/>
        </w:rPr>
        <w:t>万元；</w:t>
      </w:r>
    </w:p>
    <w:p w14:paraId="31FDC564">
      <w:pPr>
        <w:pStyle w:val="12"/>
        <w:numPr>
          <w:ilvl w:val="1"/>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本保单约定的四家和睦家医疗集团下医疗机构的赔付比例为7</w:t>
      </w:r>
      <w:r>
        <w:rPr>
          <w:rFonts w:ascii="微软雅黑" w:hAnsi="微软雅黑" w:eastAsia="微软雅黑"/>
          <w:szCs w:val="21"/>
        </w:rPr>
        <w:t>0%</w:t>
      </w:r>
      <w:r>
        <w:rPr>
          <w:rFonts w:hint="eastAsia" w:ascii="微软雅黑" w:hAnsi="微软雅黑" w:eastAsia="微软雅黑"/>
          <w:szCs w:val="21"/>
        </w:rPr>
        <w:t>，其余医院的赔付比例为1</w:t>
      </w:r>
      <w:r>
        <w:rPr>
          <w:rFonts w:ascii="微软雅黑" w:hAnsi="微软雅黑" w:eastAsia="微软雅黑"/>
          <w:szCs w:val="21"/>
        </w:rPr>
        <w:t>00%</w:t>
      </w:r>
      <w:r>
        <w:rPr>
          <w:rFonts w:hint="eastAsia" w:ascii="微软雅黑" w:hAnsi="微软雅黑" w:eastAsia="微软雅黑"/>
          <w:szCs w:val="21"/>
        </w:rPr>
        <w:t>，保额为8</w:t>
      </w:r>
      <w:r>
        <w:rPr>
          <w:rFonts w:ascii="微软雅黑" w:hAnsi="微软雅黑" w:eastAsia="微软雅黑"/>
          <w:szCs w:val="21"/>
        </w:rPr>
        <w:t>00</w:t>
      </w:r>
      <w:r>
        <w:rPr>
          <w:rFonts w:hint="eastAsia" w:ascii="微软雅黑" w:hAnsi="微软雅黑" w:eastAsia="微软雅黑"/>
          <w:szCs w:val="21"/>
        </w:rPr>
        <w:t>万元；</w:t>
      </w:r>
    </w:p>
    <w:p w14:paraId="057DCCAB">
      <w:pPr>
        <w:pStyle w:val="12"/>
        <w:numPr>
          <w:ilvl w:val="0"/>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本产品一般医疗保险责任及特定疾病医疗保险责任项下的以下费用有单独约定：</w:t>
      </w:r>
    </w:p>
    <w:p w14:paraId="6303A3E7">
      <w:pPr>
        <w:pStyle w:val="12"/>
        <w:numPr>
          <w:ilvl w:val="1"/>
          <w:numId w:val="1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p>
    <w:p w14:paraId="1DB3C6BD">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床位费限3,000元/天，陪床费限1,000元/天，且不高于就诊医院标准单人病房标准（不包括套房、家庭病床、豪华房、行政客房）；</w:t>
      </w:r>
    </w:p>
    <w:p w14:paraId="14DBF0C4">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重建手术费每次手术限额</w:t>
      </w:r>
      <w:r>
        <w:rPr>
          <w:rFonts w:ascii="微软雅黑" w:hAnsi="微软雅黑" w:eastAsia="微软雅黑"/>
          <w:szCs w:val="21"/>
        </w:rPr>
        <w:t>10</w:t>
      </w:r>
      <w:r>
        <w:rPr>
          <w:rFonts w:hint="eastAsia" w:ascii="微软雅黑" w:hAnsi="微软雅黑" w:eastAsia="微软雅黑"/>
          <w:szCs w:val="21"/>
        </w:rPr>
        <w:t>万元；</w:t>
      </w:r>
    </w:p>
    <w:p w14:paraId="54B05A35">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医疗器械费无单独限额；</w:t>
      </w:r>
    </w:p>
    <w:p w14:paraId="0C817647">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耐用医疗设备费累计限额1</w:t>
      </w:r>
      <w:r>
        <w:rPr>
          <w:rFonts w:ascii="微软雅黑" w:hAnsi="微软雅黑" w:eastAsia="微软雅黑"/>
          <w:szCs w:val="21"/>
        </w:rPr>
        <w:t>0</w:t>
      </w:r>
      <w:r>
        <w:rPr>
          <w:rFonts w:hint="eastAsia" w:ascii="微软雅黑" w:hAnsi="微软雅黑" w:eastAsia="微软雅黑"/>
          <w:szCs w:val="21"/>
        </w:rPr>
        <w:t>万元；</w:t>
      </w:r>
    </w:p>
    <w:p w14:paraId="5DA33F28">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精神和心理障碍治疗费累计限额1</w:t>
      </w:r>
      <w:r>
        <w:rPr>
          <w:rFonts w:ascii="微软雅黑" w:hAnsi="微软雅黑" w:eastAsia="微软雅黑"/>
          <w:szCs w:val="21"/>
        </w:rPr>
        <w:t>0</w:t>
      </w:r>
      <w:r>
        <w:rPr>
          <w:rFonts w:hint="eastAsia" w:ascii="微软雅黑" w:hAnsi="微软雅黑" w:eastAsia="微软雅黑"/>
          <w:szCs w:val="21"/>
        </w:rPr>
        <w:t>万元；</w:t>
      </w:r>
    </w:p>
    <w:p w14:paraId="5ABAD8AA">
      <w:pPr>
        <w:pStyle w:val="12"/>
        <w:numPr>
          <w:ilvl w:val="0"/>
          <w:numId w:val="1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出院后特别关怀费用以出院后（含出院当日）60日为限，无单独限额。</w:t>
      </w:r>
    </w:p>
    <w:p w14:paraId="4D16EA9E">
      <w:pPr>
        <w:pStyle w:val="12"/>
        <w:numPr>
          <w:ilvl w:val="1"/>
          <w:numId w:val="1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必选计划二</w:t>
      </w:r>
    </w:p>
    <w:p w14:paraId="033388B8">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床位费无单独限额，陪床费限1,000元/天，且在中华人民共和国境内（不包括香港、澳门及台湾地区）不高于就诊医院标准单人病房标准（不包括套房、家庭病床、豪华房、行政客房），在中华人民共和国境外以及香港、澳门、台湾地区不高于就诊医院双人病房标准（不包括单人病房、套房、家庭病床）；</w:t>
      </w:r>
    </w:p>
    <w:p w14:paraId="6B109BBC">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重建手术费无单独限额；</w:t>
      </w:r>
    </w:p>
    <w:p w14:paraId="77337188">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医疗器械费无单独限额；</w:t>
      </w:r>
    </w:p>
    <w:p w14:paraId="0B977774">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耐用医疗设备费无单独限额；</w:t>
      </w:r>
    </w:p>
    <w:p w14:paraId="4CCE5928">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精神和心理障碍治疗费无单独限额；</w:t>
      </w:r>
    </w:p>
    <w:p w14:paraId="1CB3E017">
      <w:pPr>
        <w:pStyle w:val="12"/>
        <w:numPr>
          <w:ilvl w:val="0"/>
          <w:numId w:val="1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出院后特别关怀费用以出院后（含出院当日）60日为限，无单独限额。</w:t>
      </w:r>
    </w:p>
    <w:p w14:paraId="6455997D">
      <w:pPr>
        <w:pStyle w:val="12"/>
        <w:numPr>
          <w:ilvl w:val="0"/>
          <w:numId w:val="1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外购药品及外购医疗器械费用医疗责任、特定药品费用医疗责任、恶性肿瘤先进疗法医疗责任（如有）、特定疾病异地转诊公共交通费用及住宿费用责任（如有）、特定疾病住院津贴责任（如有）、意外紧急牙齿门急诊医疗费用责任及全球紧急救援服务责任共享保险金额。</w:t>
      </w:r>
    </w:p>
    <w:p w14:paraId="1D33E6F0">
      <w:pPr>
        <w:pStyle w:val="12"/>
        <w:adjustRightInd w:val="0"/>
        <w:snapToGrid w:val="0"/>
        <w:ind w:firstLine="0" w:firstLineChars="0"/>
        <w:rPr>
          <w:rFonts w:hint="eastAsia" w:ascii="微软雅黑" w:hAnsi="微软雅黑" w:eastAsia="微软雅黑"/>
          <w:szCs w:val="21"/>
        </w:rPr>
      </w:pPr>
    </w:p>
    <w:p w14:paraId="7B5D948A">
      <w:pPr>
        <w:pStyle w:val="24"/>
        <w:numPr>
          <w:ilvl w:val="0"/>
          <w:numId w:val="3"/>
        </w:numPr>
        <w:ind w:firstLineChars="0"/>
        <w:rPr>
          <w:rFonts w:hint="eastAsia" w:ascii="微软雅黑" w:hAnsi="微软雅黑" w:eastAsia="微软雅黑"/>
          <w:b/>
          <w:bCs/>
          <w:szCs w:val="21"/>
        </w:rPr>
      </w:pPr>
      <w:bookmarkStart w:id="3" w:name="OLE_LINK1"/>
      <w:r>
        <w:rPr>
          <w:rFonts w:hint="eastAsia" w:ascii="微软雅黑" w:hAnsi="微软雅黑" w:eastAsia="微软雅黑"/>
          <w:b/>
          <w:bCs/>
          <w:szCs w:val="21"/>
        </w:rPr>
        <w:t>恶性肿瘤先进疗法医疗责任</w:t>
      </w:r>
    </w:p>
    <w:bookmarkEnd w:id="3"/>
    <w:p w14:paraId="0875FDB7">
      <w:pPr>
        <w:pStyle w:val="12"/>
        <w:adjustRightInd w:val="0"/>
        <w:snapToGrid w:val="0"/>
        <w:ind w:left="420" w:firstLine="0" w:firstLineChars="0"/>
        <w:outlineLvl w:val="1"/>
        <w:rPr>
          <w:rFonts w:hint="eastAsia" w:ascii="微软雅黑" w:hAnsi="微软雅黑" w:eastAsia="微软雅黑"/>
          <w:b/>
          <w:bCs/>
          <w:szCs w:val="21"/>
        </w:rPr>
      </w:pPr>
      <w:r>
        <w:rPr>
          <w:rFonts w:hint="eastAsia" w:ascii="微软雅黑" w:hAnsi="微软雅黑" w:eastAsia="微软雅黑"/>
          <w:b/>
          <w:bCs/>
          <w:szCs w:val="21"/>
        </w:rPr>
        <w:t>本责任包含下述1-</w:t>
      </w:r>
      <w:r>
        <w:rPr>
          <w:rFonts w:ascii="微软雅黑" w:hAnsi="微软雅黑" w:eastAsia="微软雅黑"/>
          <w:b/>
          <w:bCs/>
          <w:szCs w:val="21"/>
        </w:rPr>
        <w:t>3</w:t>
      </w:r>
      <w:r>
        <w:rPr>
          <w:rFonts w:hint="eastAsia" w:ascii="微软雅黑" w:hAnsi="微软雅黑" w:eastAsia="微软雅黑"/>
          <w:b/>
          <w:bCs/>
          <w:szCs w:val="21"/>
        </w:rPr>
        <w:t>类费用：</w:t>
      </w:r>
    </w:p>
    <w:p w14:paraId="5E15B4FA">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恶性肿瘤质子重离子医疗费用：</w:t>
      </w:r>
      <w:r>
        <w:rPr>
          <w:rFonts w:hint="eastAsia" w:ascii="微软雅黑" w:hAnsi="微软雅黑" w:eastAsia="微软雅黑"/>
          <w:szCs w:val="21"/>
        </w:rPr>
        <w:t>在保险期间内，被保险人在等待期30天后初次确诊罹患恶性肿瘤——重度，在经中华人民共和国卫生部门审核认定的、可开展质子治疗或重离子治疗的医疗机构（限中国大陆境内，不包括境外及港澳台地区）接受质子重离子治疗而发生的恶性肿瘤质子重离子医疗费用，但不包括化学疗法、肿瘤免疫疗法、肿瘤内分泌疗法和肿瘤靶向疗法所产生的药品费。</w:t>
      </w:r>
    </w:p>
    <w:p w14:paraId="765DA89F">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恶性肿瘤硼中子俘获治疗医疗费用：</w:t>
      </w:r>
      <w:r>
        <w:rPr>
          <w:rFonts w:hint="eastAsia" w:ascii="微软雅黑" w:hAnsi="微软雅黑" w:eastAsia="微软雅黑"/>
          <w:szCs w:val="21"/>
        </w:rPr>
        <w:t>在保险期间内，被保险人在等待期30天后初次确诊罹患恶性肿瘤——重度，在</w:t>
      </w:r>
      <w:r>
        <w:rPr>
          <w:rFonts w:hint="eastAsia" w:ascii="微软雅黑" w:hAnsi="微软雅黑" w:eastAsia="微软雅黑"/>
          <w:szCs w:val="21"/>
          <w:u w:val="single"/>
        </w:rPr>
        <w:t>日本大阪关西BNCT中心、日本国立癌症研究中心、日本江户川病院、日本南东北BNCT中心</w:t>
      </w:r>
      <w:r>
        <w:rPr>
          <w:rFonts w:hint="eastAsia" w:ascii="微软雅黑" w:hAnsi="微软雅黑" w:eastAsia="微软雅黑"/>
          <w:szCs w:val="21"/>
        </w:rPr>
        <w:t>接受硼中子俘获治疗而发生的恶性肿瘤硼中子俘获治疗医疗费用，但不包括化学疗法、肿瘤免疫疗法、肿瘤内分泌疗法和肿瘤靶向疗法所产生的药品费。</w:t>
      </w:r>
    </w:p>
    <w:p w14:paraId="72DC00B2">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恶性肿瘤光免疫疗法医疗费用：</w:t>
      </w:r>
      <w:r>
        <w:rPr>
          <w:rFonts w:hint="eastAsia" w:ascii="微软雅黑" w:hAnsi="微软雅黑" w:eastAsia="微软雅黑"/>
          <w:szCs w:val="21"/>
        </w:rPr>
        <w:t>在保险期间内，被保险人在等待期30天后初次确诊罹患恶性肿瘤——重度，在</w:t>
      </w:r>
      <w:bookmarkStart w:id="4" w:name="_Hlk150446342"/>
      <w:r>
        <w:rPr>
          <w:rFonts w:hint="eastAsia" w:ascii="微软雅黑" w:hAnsi="微软雅黑" w:eastAsia="微软雅黑"/>
          <w:szCs w:val="21"/>
          <w:u w:val="single"/>
        </w:rPr>
        <w:t>日本国立癌症研究中心东医院、日本东京医科大学病院</w:t>
      </w:r>
      <w:bookmarkEnd w:id="4"/>
      <w:r>
        <w:rPr>
          <w:rFonts w:hint="eastAsia" w:ascii="微软雅黑" w:hAnsi="微软雅黑" w:eastAsia="微软雅黑"/>
          <w:szCs w:val="21"/>
        </w:rPr>
        <w:t>接受光免疫疗法治疗而发生的恶性肿瘤光免疫疗法医疗费用，但不包括化学疗法、肿瘤免疫疗法、肿瘤内分泌疗法和肿瘤靶向疗法所产生的药品费。</w:t>
      </w:r>
    </w:p>
    <w:p w14:paraId="6DC29F3A">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w:t>
      </w:r>
    </w:p>
    <w:p w14:paraId="726CDE53">
      <w:pPr>
        <w:pStyle w:val="12"/>
        <w:numPr>
          <w:ilvl w:val="1"/>
          <w:numId w:val="1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床位费限3000元/天（不包括单人病房、套房、家庭病床），年累计给付以60</w:t>
      </w:r>
      <w:r>
        <w:rPr>
          <w:rFonts w:ascii="微软雅黑" w:hAnsi="微软雅黑" w:eastAsia="微软雅黑"/>
          <w:szCs w:val="21"/>
        </w:rPr>
        <w:t>0</w:t>
      </w:r>
      <w:r>
        <w:rPr>
          <w:rFonts w:hint="eastAsia" w:ascii="微软雅黑" w:hAnsi="微软雅黑" w:eastAsia="微软雅黑"/>
          <w:szCs w:val="21"/>
        </w:rPr>
        <w:t>万元为限；</w:t>
      </w:r>
    </w:p>
    <w:p w14:paraId="752715F5">
      <w:pPr>
        <w:pStyle w:val="12"/>
        <w:numPr>
          <w:ilvl w:val="1"/>
          <w:numId w:val="1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床位费无单独限额，年累计给付以80</w:t>
      </w:r>
      <w:r>
        <w:rPr>
          <w:rFonts w:ascii="微软雅黑" w:hAnsi="微软雅黑" w:eastAsia="微软雅黑"/>
          <w:szCs w:val="21"/>
        </w:rPr>
        <w:t>0</w:t>
      </w:r>
      <w:r>
        <w:rPr>
          <w:rFonts w:hint="eastAsia" w:ascii="微软雅黑" w:hAnsi="微软雅黑" w:eastAsia="微软雅黑"/>
          <w:szCs w:val="21"/>
        </w:rPr>
        <w:t>万元为限；</w:t>
      </w:r>
    </w:p>
    <w:p w14:paraId="25579766">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本责任无免赔额。本责任包含恶性肿瘤先进疗法就医协助服务，限被保险人本人且应在等待期后的保险期限内使用。若需使用该服务，请致电服务电话：952299或1010-9955。</w:t>
      </w:r>
    </w:p>
    <w:p w14:paraId="235BD9BB">
      <w:pPr>
        <w:pStyle w:val="12"/>
        <w:numPr>
          <w:ilvl w:val="0"/>
          <w:numId w:val="1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外购药品及外购医疗器械费用医疗责任、特定药品费用医疗责任、特定疾病异地转诊公共交通费用及住宿费用责任（如有）、特定疾病住院津贴责任（如有）、意外紧急牙齿门急诊医疗费用责任及全球紧急救援服务责任共享保险金额。</w:t>
      </w:r>
    </w:p>
    <w:p w14:paraId="032524F8">
      <w:pPr>
        <w:pStyle w:val="12"/>
        <w:adjustRightInd w:val="0"/>
        <w:snapToGrid w:val="0"/>
        <w:ind w:firstLine="0" w:firstLineChars="0"/>
        <w:rPr>
          <w:rFonts w:hint="eastAsia" w:ascii="微软雅黑" w:hAnsi="微软雅黑" w:eastAsia="微软雅黑"/>
          <w:szCs w:val="21"/>
        </w:rPr>
      </w:pPr>
    </w:p>
    <w:p w14:paraId="25D30FBE">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外购药品及外购医疗器械费用医疗责任</w:t>
      </w:r>
    </w:p>
    <w:p w14:paraId="3ED2E421">
      <w:pPr>
        <w:pStyle w:val="12"/>
        <w:numPr>
          <w:ilvl w:val="0"/>
          <w:numId w:val="1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在保险期间内，被保险人因遭受意外伤害事故或在等待期30天后因患疾病；</w:t>
      </w:r>
    </w:p>
    <w:p w14:paraId="4D067A4E">
      <w:pPr>
        <w:pStyle w:val="12"/>
        <w:numPr>
          <w:ilvl w:val="0"/>
          <w:numId w:val="1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在符合一般医疗保险金保险责任范围内的必须由被保险人个人自行承担的合理且必要的，满足以下条件的外购药品及外购医疗器械费用：</w:t>
      </w:r>
    </w:p>
    <w:p w14:paraId="0C8EECF6">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外购药品和外购医疗器械须由中华人民共和国卫生部门审核认定二级及二级以上的公立医院及本保单约定的指定民营医疗机构的专科医生开具处方，且该处方符合中国国家药品监督管理机构批准的该药品说明书与医疗器械说明书中所列明的适应症和用法用量，且为被保险人当前治疗必需的；</w:t>
      </w:r>
    </w:p>
    <w:p w14:paraId="62255F0C">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每次处方剂量不超过30日（含30日）；</w:t>
      </w:r>
    </w:p>
    <w:p w14:paraId="4EBC4CB7">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外购药品需具有国家药品监督管理部门核发的药品批准文号或者进口药品注册证书、医药产品注册证书；外购医疗器械需具有国家药品监督管理部门核发的医疗器械注册证编号；</w:t>
      </w:r>
    </w:p>
    <w:p w14:paraId="28D7DDE7">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外购医疗器械</w:t>
      </w:r>
      <w:r>
        <w:rPr>
          <w:rFonts w:hint="eastAsia" w:ascii="微软雅黑" w:hAnsi="微软雅黑" w:eastAsia="微软雅黑"/>
          <w:b/>
          <w:bCs/>
          <w:szCs w:val="21"/>
        </w:rPr>
        <w:t>不包括假体、义肢、轮椅、康复设备、按摩设备等需要长期使用或舒适性、便利性用途设备的购买、租赁和置换费用；</w:t>
      </w:r>
    </w:p>
    <w:p w14:paraId="7C689D16">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外购药品</w:t>
      </w:r>
      <w:r>
        <w:rPr>
          <w:rFonts w:hint="eastAsia" w:ascii="微软雅黑" w:hAnsi="微软雅黑" w:eastAsia="微软雅黑"/>
          <w:b/>
          <w:bCs/>
          <w:szCs w:val="21"/>
        </w:rPr>
        <w:t>不包括营养补充类药品，免疫功能调节类药品，美容及减肥类药品，预防类药品，以及滋补类中草药，即以提高人体免疫力为主要用途使用的中草药及中成药，包括但不限于人参、阿胶、鹿角胶、龟鹿二仙胶、龟板胶、鳖甲胶、马宝、珊瑚、玳瑁、冬虫夏草、藏红花、羚羊、犀角、牛黄、麝香、鹿茸、铁皮枫斗以及用中药材和中药饮片炮制的各类酒制剂等；</w:t>
      </w:r>
    </w:p>
    <w:p w14:paraId="545F61B5">
      <w:pPr>
        <w:pStyle w:val="12"/>
        <w:numPr>
          <w:ilvl w:val="1"/>
          <w:numId w:val="1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外购药品及外购医疗器械费用保险金</w:t>
      </w:r>
      <w:r>
        <w:rPr>
          <w:rFonts w:hint="eastAsia" w:ascii="微软雅黑" w:hAnsi="微软雅黑" w:eastAsia="微软雅黑"/>
          <w:b/>
          <w:bCs/>
          <w:szCs w:val="21"/>
        </w:rPr>
        <w:t>不包含：特定药品费用医疗责任中的恶性肿瘤——重度院外特定药品费用、罕见病特定药品费用、特定进口药品费用（您需通过特定药品费用医疗责任进行特定药品的理赔申请，详见5.特定药品费用医疗责任）</w:t>
      </w:r>
    </w:p>
    <w:p w14:paraId="64D0EE28">
      <w:pPr>
        <w:pStyle w:val="12"/>
        <w:numPr>
          <w:ilvl w:val="0"/>
          <w:numId w:val="1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w:t>
      </w:r>
    </w:p>
    <w:p w14:paraId="3E4D6A9E">
      <w:pPr>
        <w:pStyle w:val="12"/>
        <w:numPr>
          <w:ilvl w:val="1"/>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赔付比例100%，年累计给付以60</w:t>
      </w:r>
      <w:r>
        <w:rPr>
          <w:rFonts w:ascii="微软雅黑" w:hAnsi="微软雅黑" w:eastAsia="微软雅黑"/>
          <w:szCs w:val="21"/>
        </w:rPr>
        <w:t>0</w:t>
      </w:r>
      <w:r>
        <w:rPr>
          <w:rFonts w:hint="eastAsia" w:ascii="微软雅黑" w:hAnsi="微软雅黑" w:eastAsia="微软雅黑"/>
          <w:szCs w:val="21"/>
        </w:rPr>
        <w:t>万元为限；</w:t>
      </w:r>
    </w:p>
    <w:p w14:paraId="3B00136E">
      <w:pPr>
        <w:pStyle w:val="12"/>
        <w:numPr>
          <w:ilvl w:val="1"/>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赔付比例100%，年累计给付以80</w:t>
      </w:r>
      <w:r>
        <w:rPr>
          <w:rFonts w:ascii="微软雅黑" w:hAnsi="微软雅黑" w:eastAsia="微软雅黑"/>
          <w:szCs w:val="21"/>
        </w:rPr>
        <w:t>0</w:t>
      </w:r>
      <w:r>
        <w:rPr>
          <w:rFonts w:hint="eastAsia" w:ascii="微软雅黑" w:hAnsi="微软雅黑" w:eastAsia="微软雅黑"/>
          <w:szCs w:val="21"/>
        </w:rPr>
        <w:t>万元为限；</w:t>
      </w:r>
    </w:p>
    <w:p w14:paraId="188998EF">
      <w:pPr>
        <w:pStyle w:val="12"/>
        <w:numPr>
          <w:ilvl w:val="0"/>
          <w:numId w:val="2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特定药品费用医疗责任、恶性肿瘤先进疗法医疗责任（如有）、特定疾病异地转诊公共交通费用及住宿费用责任（如有）、特定疾病住院津贴责任（如有）、意外紧急牙齿门急诊医疗费用责任及全球紧急救援服务责任共享保险金额。</w:t>
      </w:r>
    </w:p>
    <w:p w14:paraId="31784E6D">
      <w:pPr>
        <w:pStyle w:val="12"/>
        <w:adjustRightInd w:val="0"/>
        <w:snapToGrid w:val="0"/>
        <w:ind w:firstLine="0" w:firstLineChars="0"/>
        <w:rPr>
          <w:rFonts w:hint="eastAsia" w:ascii="微软雅黑" w:hAnsi="微软雅黑" w:eastAsia="微软雅黑"/>
          <w:szCs w:val="21"/>
        </w:rPr>
      </w:pPr>
    </w:p>
    <w:p w14:paraId="0ED981BC">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特定药品费用医疗保险金</w:t>
      </w:r>
    </w:p>
    <w:p w14:paraId="493343D5">
      <w:pPr>
        <w:pStyle w:val="12"/>
        <w:adjustRightInd w:val="0"/>
        <w:snapToGrid w:val="0"/>
        <w:ind w:left="420" w:firstLine="0" w:firstLineChars="0"/>
        <w:outlineLvl w:val="1"/>
        <w:rPr>
          <w:rFonts w:hint="eastAsia" w:ascii="微软雅黑" w:hAnsi="微软雅黑" w:eastAsia="微软雅黑"/>
          <w:b/>
          <w:bCs/>
          <w:szCs w:val="21"/>
        </w:rPr>
      </w:pPr>
      <w:r>
        <w:rPr>
          <w:rFonts w:hint="eastAsia" w:ascii="微软雅黑" w:hAnsi="微软雅黑" w:eastAsia="微软雅黑"/>
          <w:b/>
          <w:bCs/>
          <w:szCs w:val="21"/>
        </w:rPr>
        <w:t>本责任包含下述1-3类费用：</w:t>
      </w:r>
    </w:p>
    <w:p w14:paraId="590423AD">
      <w:pPr>
        <w:pStyle w:val="12"/>
        <w:numPr>
          <w:ilvl w:val="0"/>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在保险期间内，被保险人在等待期30天后经以下就诊医院范围中的专科医生初次确诊罹患恶性肿瘤——重度，治疗实际发生的合理且必需的且同时满足合同定义的特定药品费用和恶性肿瘤——重度基因检测费用：</w:t>
      </w:r>
    </w:p>
    <w:p w14:paraId="4AF7B5B0">
      <w:pPr>
        <w:pStyle w:val="12"/>
        <w:numPr>
          <w:ilvl w:val="1"/>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w:t>
      </w:r>
    </w:p>
    <w:p w14:paraId="1C01FD40">
      <w:pPr>
        <w:pStyle w:val="12"/>
        <w:numPr>
          <w:ilvl w:val="1"/>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经中华人民共和国卫生部门审核认定的、当地基本医疗保险管理机构最新公布的二级及二级以上的定点医院（但不包括《扩展承保及除外医疗机构清单》中的除外医疗机构）及本保单约定的指定私立医院；</w:t>
      </w:r>
    </w:p>
    <w:p w14:paraId="23765674">
      <w:pPr>
        <w:pStyle w:val="12"/>
        <w:numPr>
          <w:ilvl w:val="1"/>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特定药品费用：</w:t>
      </w:r>
    </w:p>
    <w:p w14:paraId="2BD719A9">
      <w:pPr>
        <w:pStyle w:val="12"/>
        <w:numPr>
          <w:ilvl w:val="2"/>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被保险人须在保险人指定的药店进行特定药品的购买。</w:t>
      </w:r>
    </w:p>
    <w:p w14:paraId="64226F0B">
      <w:pPr>
        <w:pStyle w:val="12"/>
        <w:numPr>
          <w:ilvl w:val="2"/>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rPr>
        <w:t>；</w:t>
      </w:r>
    </w:p>
    <w:p w14:paraId="05356758">
      <w:pPr>
        <w:pStyle w:val="12"/>
        <w:numPr>
          <w:ilvl w:val="2"/>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本项费用包含肿瘤特药服务，限被保险人本人且应在等待期后的保险期限内使用。若需使用该服务，请致电服务电话：952299或1010-9955。</w:t>
      </w:r>
    </w:p>
    <w:p w14:paraId="13477C3E">
      <w:pPr>
        <w:pStyle w:val="12"/>
        <w:numPr>
          <w:ilvl w:val="2"/>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药品范围：本合同期满日前在中国国家药品监督管理局批准且已在中国上市的靶向药物、免疫治疗药物。（详见《特定药品范围说明》）</w:t>
      </w:r>
    </w:p>
    <w:p w14:paraId="3CC4B192">
      <w:pPr>
        <w:pStyle w:val="12"/>
        <w:numPr>
          <w:ilvl w:val="1"/>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恶性肿瘤——重度基因检测费用：</w:t>
      </w:r>
    </w:p>
    <w:p w14:paraId="23C0AFCB">
      <w:pPr>
        <w:pStyle w:val="12"/>
        <w:numPr>
          <w:ilvl w:val="0"/>
          <w:numId w:val="25"/>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恶性肿瘤——重度特定药品基因检测必须是为了确定被保险人初次确诊罹患本合同约定的恶性肿瘤——重度且为治疗该恶性肿瘤而发生的、必需且合理的、用药方案所发生的；</w:t>
      </w:r>
    </w:p>
    <w:p w14:paraId="3224CF98">
      <w:pPr>
        <w:pStyle w:val="12"/>
        <w:numPr>
          <w:ilvl w:val="0"/>
          <w:numId w:val="25"/>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被保险人进行恶性肿瘤——重度特定药品基因检测前，需按保险人指定流程提交相应材料并通过审核，具体流程见条款中“恶性肿瘤——重度特定药品基因检测费用授权申请、审核和基因检测”；</w:t>
      </w:r>
    </w:p>
    <w:p w14:paraId="493CD3AF">
      <w:pPr>
        <w:pStyle w:val="12"/>
        <w:numPr>
          <w:ilvl w:val="0"/>
          <w:numId w:val="25"/>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恶性肿瘤——重度特定药品基因检测在本合同约定的基因检测机构内发生的，赔付费用由保险人与保险人指定的基因检测机构或第三方服务商直接结算。</w:t>
      </w:r>
    </w:p>
    <w:p w14:paraId="3D91B5C5">
      <w:pPr>
        <w:pStyle w:val="12"/>
        <w:numPr>
          <w:ilvl w:val="0"/>
          <w:numId w:val="25"/>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若被保险人未在本合同约定的基因检测机构内发生，保险人承担100%的保险金赔付责任，恶性肿瘤——重度特定药品基因检测费用限2万元。</w:t>
      </w:r>
    </w:p>
    <w:p w14:paraId="19F70E33">
      <w:pPr>
        <w:pStyle w:val="12"/>
        <w:numPr>
          <w:ilvl w:val="1"/>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本项费用包含基因检测服务，限被保险人本人且应在等待期后的保险期限内使用。若需使用该服务，请致电服务电话：952299或1010-9955。</w:t>
      </w:r>
    </w:p>
    <w:p w14:paraId="35E886E1">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罕见病特定药品费用</w:t>
      </w:r>
    </w:p>
    <w:p w14:paraId="0F0E486C">
      <w:pPr>
        <w:pStyle w:val="12"/>
        <w:numPr>
          <w:ilvl w:val="1"/>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在保险期间内，被保险人在</w:t>
      </w:r>
      <w:r>
        <w:rPr>
          <w:rFonts w:hint="eastAsia" w:ascii="微软雅黑" w:hAnsi="微软雅黑" w:eastAsia="微软雅黑" w:cs="微软雅黑"/>
          <w:color w:val="000000"/>
          <w:szCs w:val="21"/>
        </w:rPr>
        <w:t>等待期30天后</w:t>
      </w:r>
      <w:r>
        <w:rPr>
          <w:rFonts w:hint="eastAsia" w:ascii="微软雅黑" w:hAnsi="微软雅黑" w:eastAsia="微软雅黑"/>
          <w:szCs w:val="21"/>
        </w:rPr>
        <w:t>经以下就诊医院范围中的专科医生</w:t>
      </w:r>
      <w:r>
        <w:rPr>
          <w:rFonts w:hint="eastAsia" w:ascii="微软雅黑" w:hAnsi="微软雅黑" w:eastAsia="微软雅黑" w:cs="微软雅黑"/>
          <w:color w:val="000000"/>
          <w:szCs w:val="21"/>
        </w:rPr>
        <w:t>初次确诊罹患本合同约定的1</w:t>
      </w:r>
      <w:r>
        <w:rPr>
          <w:rFonts w:ascii="微软雅黑" w:hAnsi="微软雅黑" w:eastAsia="微软雅黑" w:cs="微软雅黑"/>
          <w:color w:val="000000"/>
          <w:szCs w:val="21"/>
        </w:rPr>
        <w:t>3</w:t>
      </w:r>
      <w:r>
        <w:rPr>
          <w:rFonts w:hint="eastAsia" w:ascii="微软雅黑" w:hAnsi="微软雅黑" w:eastAsia="微软雅黑" w:cs="微软雅黑"/>
          <w:color w:val="000000"/>
          <w:szCs w:val="21"/>
        </w:rPr>
        <w:t>种罕见病</w:t>
      </w:r>
      <w:r>
        <w:rPr>
          <w:rFonts w:hint="eastAsia" w:ascii="微软雅黑" w:hAnsi="微软雅黑" w:eastAsia="微软雅黑"/>
          <w:szCs w:val="21"/>
        </w:rPr>
        <w:t>，治疗实际发生的合理且必需的且同时满足合同定义的特定药品费用：</w:t>
      </w:r>
    </w:p>
    <w:p w14:paraId="50D3E3FF">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w:t>
      </w:r>
    </w:p>
    <w:p w14:paraId="348B431A">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经中华人民共和国卫生部门审核认定的、当地基本医疗保险管理机构最新公布的二级及二级以上的定点医院（但不包括《扩展承保及除外医疗机构清单》中的除外医疗机构）及本保单约定的指定私立医院；</w:t>
      </w:r>
    </w:p>
    <w:p w14:paraId="5D99FC5C">
      <w:pPr>
        <w:pStyle w:val="12"/>
        <w:numPr>
          <w:ilvl w:val="1"/>
          <w:numId w:val="27"/>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szCs w:val="21"/>
        </w:rPr>
        <w:t>被保险人</w:t>
      </w:r>
      <w:r>
        <w:rPr>
          <w:rFonts w:hint="eastAsia" w:ascii="微软雅黑" w:hAnsi="微软雅黑" w:eastAsia="微软雅黑" w:cs="微软雅黑"/>
          <w:color w:val="000000"/>
          <w:szCs w:val="21"/>
        </w:rPr>
        <w:t>须在保险人指定的药店进行特定药品的购买；</w:t>
      </w:r>
    </w:p>
    <w:p w14:paraId="77732CEF">
      <w:pPr>
        <w:pStyle w:val="12"/>
        <w:numPr>
          <w:ilvl w:val="1"/>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w:t>
      </w:r>
      <w:r>
        <w:rPr>
          <w:rFonts w:hint="eastAsia" w:ascii="微软雅黑" w:hAnsi="微软雅黑" w:eastAsia="微软雅黑" w:cs="微软雅黑"/>
          <w:color w:val="000000"/>
          <w:szCs w:val="21"/>
        </w:rPr>
        <w:t>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rPr>
        <w:t>。</w:t>
      </w:r>
    </w:p>
    <w:p w14:paraId="188FD306">
      <w:pPr>
        <w:pStyle w:val="12"/>
        <w:numPr>
          <w:ilvl w:val="1"/>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本项费用包含罕见病特药服务，限被保险人本人且应在等待期后的保险期限内使用。若需使用该服务，请致电服务电话：952299或1010-9955。</w:t>
      </w:r>
    </w:p>
    <w:p w14:paraId="609F4CF1">
      <w:pPr>
        <w:pStyle w:val="12"/>
        <w:numPr>
          <w:ilvl w:val="1"/>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药品范围：本合同期满日前在中国国家药品监督管理局批准且已在中国上市的罕见病药物。（详见《特定药品范围说明》）。</w:t>
      </w:r>
    </w:p>
    <w:p w14:paraId="5A57A97E">
      <w:pPr>
        <w:pStyle w:val="12"/>
        <w:numPr>
          <w:ilvl w:val="0"/>
          <w:numId w:val="26"/>
        </w:numPr>
        <w:adjustRightInd w:val="0"/>
        <w:snapToGrid w:val="0"/>
        <w:ind w:firstLineChars="0"/>
        <w:rPr>
          <w:rFonts w:hint="eastAsia" w:ascii="微软雅黑" w:hAnsi="微软雅黑" w:eastAsia="微软雅黑"/>
          <w:szCs w:val="21"/>
        </w:rPr>
      </w:pPr>
      <w:bookmarkStart w:id="5" w:name="OLE_LINK6"/>
      <w:r>
        <w:rPr>
          <w:rFonts w:hint="eastAsia" w:ascii="微软雅黑" w:hAnsi="微软雅黑" w:eastAsia="微软雅黑"/>
          <w:b/>
          <w:bCs/>
          <w:szCs w:val="21"/>
        </w:rPr>
        <w:t>特定进口药品费用及特定医疗机构住院医疗费用</w:t>
      </w:r>
    </w:p>
    <w:bookmarkEnd w:id="5"/>
    <w:p w14:paraId="1AAC0166">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在保险期间内，在等待期30天后经对应计划中认可的就诊医院范围的专科医生初次确诊罹患约定的特定进口药品清单中的疾病，且经诊断必须</w:t>
      </w:r>
      <w:r>
        <w:rPr>
          <w:rFonts w:ascii="微软雅黑" w:hAnsi="微软雅黑" w:eastAsia="微软雅黑"/>
          <w:szCs w:val="21"/>
        </w:rPr>
        <w:t>使用</w:t>
      </w:r>
      <w:r>
        <w:rPr>
          <w:rFonts w:hint="eastAsia" w:ascii="微软雅黑" w:hAnsi="微软雅黑" w:eastAsia="微软雅黑"/>
          <w:szCs w:val="21"/>
        </w:rPr>
        <w:t>临床急需进口药品治疗，治疗实际发生的合理且必需的且同时满足合同定义的院外特定药品费用特定医疗机构住院医疗费用：</w:t>
      </w:r>
    </w:p>
    <w:p w14:paraId="6B282022">
      <w:pPr>
        <w:pStyle w:val="12"/>
        <w:numPr>
          <w:ilvl w:val="1"/>
          <w:numId w:val="29"/>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szCs w:val="21"/>
        </w:rPr>
        <w:t>被保险人须在特定医疗机构购买处方中所列药品，且该药品在对应计划的特定进口药品</w:t>
      </w:r>
      <w:r>
        <w:rPr>
          <w:rFonts w:ascii="微软雅黑" w:hAnsi="微软雅黑" w:eastAsia="微软雅黑"/>
          <w:szCs w:val="21"/>
        </w:rPr>
        <w:t>清单中</w:t>
      </w:r>
      <w:r>
        <w:rPr>
          <w:rFonts w:hint="eastAsia" w:ascii="微软雅黑" w:hAnsi="微软雅黑" w:eastAsia="微软雅黑" w:cs="微软雅黑"/>
          <w:color w:val="000000"/>
          <w:szCs w:val="21"/>
        </w:rPr>
        <w:t>；</w:t>
      </w:r>
    </w:p>
    <w:p w14:paraId="06400C50">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被保险人在特定医疗机构中发生的住院医疗费用，住院医疗费用包括床位费、加床费、膳食费、护理费、重症监护室床位费、诊疗费、检查检验费、治疗费、药品费、手术费、救护车使用费、手术机器人使用费</w:t>
      </w:r>
    </w:p>
    <w:p w14:paraId="3FF90D44">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被保险人在购买处方中所列特定药品及接受特定医疗机构住院治疗前，需按保险人指定</w:t>
      </w:r>
      <w:r>
        <w:rPr>
          <w:rFonts w:hint="eastAsia" w:ascii="微软雅黑" w:hAnsi="微软雅黑" w:eastAsia="微软雅黑"/>
          <w:szCs w:val="21"/>
        </w:rPr>
        <w:t>流程</w:t>
      </w:r>
      <w:r>
        <w:rPr>
          <w:rFonts w:hint="eastAsia" w:ascii="微软雅黑" w:hAnsi="微软雅黑" w:eastAsia="微软雅黑" w:cs="微软雅黑"/>
          <w:color w:val="000000"/>
          <w:szCs w:val="21"/>
        </w:rPr>
        <w:t>提交相应材料并通过处方审核，具体流程见条款中“特定进口药品及住院医疗授权申请、药品处方审核、购药及住院治疗流程”的相关规定</w:t>
      </w:r>
      <w:r>
        <w:rPr>
          <w:rFonts w:hint="eastAsia" w:ascii="微软雅黑" w:hAnsi="微软雅黑" w:eastAsia="微软雅黑"/>
          <w:szCs w:val="21"/>
        </w:rPr>
        <w:t>；</w:t>
      </w:r>
    </w:p>
    <w:p w14:paraId="507ED1ED">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本项费用包含特定进口药品服务，限被保险人本人且应在等待期后的保险期限内使用。若需使用该服务，请致电服务电话：952299或1010-9955。</w:t>
      </w:r>
    </w:p>
    <w:p w14:paraId="6666A641">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特定医疗机构范围：</w:t>
      </w:r>
    </w:p>
    <w:p w14:paraId="2C8135C8">
      <w:pPr>
        <w:pStyle w:val="12"/>
        <w:adjustRightInd w:val="0"/>
        <w:snapToGrid w:val="0"/>
        <w:ind w:left="440" w:firstLine="0" w:firstLineChars="0"/>
        <w:rPr>
          <w:rFonts w:hint="eastAsia" w:ascii="微软雅黑" w:hAnsi="微软雅黑" w:eastAsia="微软雅黑"/>
          <w:b/>
          <w:bCs/>
          <w:szCs w:val="21"/>
        </w:rPr>
      </w:pPr>
      <w:r>
        <w:rPr>
          <w:rFonts w:hint="eastAsia" w:ascii="微软雅黑" w:hAnsi="微软雅黑" w:eastAsia="微软雅黑"/>
          <w:b/>
          <w:bCs/>
          <w:szCs w:val="21"/>
        </w:rPr>
        <w:t>计划一：20家医疗机构（详见《特定药品范围说明》）</w:t>
      </w:r>
    </w:p>
    <w:p w14:paraId="3F147570">
      <w:pPr>
        <w:pStyle w:val="12"/>
        <w:adjustRightInd w:val="0"/>
        <w:snapToGrid w:val="0"/>
        <w:ind w:left="440" w:firstLine="0" w:firstLineChars="0"/>
        <w:rPr>
          <w:rFonts w:hint="eastAsia" w:ascii="微软雅黑" w:hAnsi="微软雅黑" w:eastAsia="微软雅黑"/>
          <w:szCs w:val="21"/>
        </w:rPr>
      </w:pPr>
      <w:r>
        <w:rPr>
          <w:rFonts w:hint="eastAsia" w:ascii="微软雅黑" w:hAnsi="微软雅黑" w:eastAsia="微软雅黑"/>
          <w:b/>
          <w:bCs/>
          <w:szCs w:val="21"/>
        </w:rPr>
        <w:t>计划二：74家医疗机构（详见《特定药品范围说明》）</w:t>
      </w:r>
    </w:p>
    <w:p w14:paraId="7F3D9E14">
      <w:pPr>
        <w:pStyle w:val="12"/>
        <w:numPr>
          <w:ilvl w:val="1"/>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药品范围：本产品保险合同失效日（含失效日当日）前在国外批准上市且未在中国上市药品的靶向药物、免疫治疗药物（详见《特定药品范围说明》）；</w:t>
      </w:r>
    </w:p>
    <w:p w14:paraId="703E1F04">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仅赔付责任内约定的药品清单中列明的药品，约定的药品清单以保险人最新公布信息为准，保险人保留对药品清单进行变更的权利，将根据医疗水平的发展对药品清单进行更新。</w:t>
      </w:r>
    </w:p>
    <w:p w14:paraId="2206EC41">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w:t>
      </w:r>
    </w:p>
    <w:p w14:paraId="7EA2506A">
      <w:pPr>
        <w:pStyle w:val="12"/>
        <w:numPr>
          <w:ilvl w:val="1"/>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赔付比例100%，年累计给付以60</w:t>
      </w:r>
      <w:r>
        <w:rPr>
          <w:rFonts w:ascii="微软雅黑" w:hAnsi="微软雅黑" w:eastAsia="微软雅黑"/>
          <w:szCs w:val="21"/>
        </w:rPr>
        <w:t>0</w:t>
      </w:r>
      <w:r>
        <w:rPr>
          <w:rFonts w:hint="eastAsia" w:ascii="微软雅黑" w:hAnsi="微软雅黑" w:eastAsia="微软雅黑"/>
          <w:szCs w:val="21"/>
        </w:rPr>
        <w:t>万元为限；</w:t>
      </w:r>
    </w:p>
    <w:p w14:paraId="33F3F00D">
      <w:pPr>
        <w:pStyle w:val="12"/>
        <w:numPr>
          <w:ilvl w:val="1"/>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赔付比例100%，年累计给付以80</w:t>
      </w:r>
      <w:r>
        <w:rPr>
          <w:rFonts w:ascii="微软雅黑" w:hAnsi="微软雅黑" w:eastAsia="微软雅黑"/>
          <w:szCs w:val="21"/>
        </w:rPr>
        <w:t>0</w:t>
      </w:r>
      <w:r>
        <w:rPr>
          <w:rFonts w:hint="eastAsia" w:ascii="微软雅黑" w:hAnsi="微软雅黑" w:eastAsia="微软雅黑"/>
          <w:szCs w:val="21"/>
        </w:rPr>
        <w:t>万元为限；</w:t>
      </w:r>
    </w:p>
    <w:p w14:paraId="011BA462">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外购药品及外购医疗器械费用医疗责任、恶性肿瘤先进疗法医疗责任（如有）、特定疾病异地转诊公共交通费用及住宿费用责任（如有）、特定疾病住院津贴责任（如有）、意外紧急牙齿门急诊医疗费用责任及全球紧急救援服务责任共享保险金额。</w:t>
      </w:r>
    </w:p>
    <w:p w14:paraId="21894E33">
      <w:pPr>
        <w:pStyle w:val="12"/>
        <w:adjustRightInd w:val="0"/>
        <w:snapToGrid w:val="0"/>
        <w:ind w:firstLineChars="0"/>
        <w:rPr>
          <w:rFonts w:hint="eastAsia" w:ascii="微软雅黑" w:hAnsi="微软雅黑" w:eastAsia="微软雅黑"/>
          <w:szCs w:val="21"/>
        </w:rPr>
      </w:pPr>
    </w:p>
    <w:p w14:paraId="4AC6A50A">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特定疾病住院津贴责任：</w:t>
      </w:r>
    </w:p>
    <w:p w14:paraId="03C5BA28">
      <w:pPr>
        <w:pStyle w:val="12"/>
        <w:numPr>
          <w:ilvl w:val="0"/>
          <w:numId w:val="3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在保险期间内，被保险人因遭受意外伤害事故或在等待期30天后经以下就诊医院范围中的专科医生初次确诊罹患本合同约定的特定疾病。 被保险人因该特定疾病在以下就诊医院范围中的医疗机构接受住院治疗的，保险人按被保险人每次实际住院天数扣除每次住院免赔天数后乘以本合同约定的特定疾病住院日津贴额向被保险人给付特定疾病住院津贴保险金：</w:t>
      </w:r>
    </w:p>
    <w:p w14:paraId="7E2D17F1">
      <w:pPr>
        <w:pStyle w:val="12"/>
        <w:numPr>
          <w:ilvl w:val="1"/>
          <w:numId w:val="32"/>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必选计划一：</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的普通部、特需部、国际部、VIP部（不包括观察室、联合病房和康复病房）；</w:t>
      </w:r>
    </w:p>
    <w:p w14:paraId="5226BB53">
      <w:pPr>
        <w:pStyle w:val="12"/>
        <w:numPr>
          <w:ilvl w:val="1"/>
          <w:numId w:val="3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及本保单约定的指定私立医院的普通部、特需部、国际部、VIP部（不包括观察室、联合病房和康复病房）。其中香港、日本、美国的指定私立医院仅适用于特定疾病医疗保险金及特定疾病住院津贴保险金。</w:t>
      </w:r>
    </w:p>
    <w:p w14:paraId="2309ADD2">
      <w:pPr>
        <w:pStyle w:val="12"/>
        <w:numPr>
          <w:ilvl w:val="0"/>
          <w:numId w:val="3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每次免赔天数为0天，每次住院最多给付30天，累计最多给付180天；</w:t>
      </w:r>
    </w:p>
    <w:p w14:paraId="79A4D579">
      <w:pPr>
        <w:pStyle w:val="12"/>
        <w:numPr>
          <w:ilvl w:val="0"/>
          <w:numId w:val="3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日津贴额、年累计给付以下述对应计划的约定为限：</w:t>
      </w:r>
    </w:p>
    <w:p w14:paraId="439E773F">
      <w:pPr>
        <w:pStyle w:val="12"/>
        <w:numPr>
          <w:ilvl w:val="1"/>
          <w:numId w:val="3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必选计划一：日津贴额为500元/天，年累计给付以9万元为限；</w:t>
      </w:r>
    </w:p>
    <w:p w14:paraId="31518221">
      <w:pPr>
        <w:pStyle w:val="12"/>
        <w:numPr>
          <w:ilvl w:val="1"/>
          <w:numId w:val="3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必选计划二：日津贴额为800元/天，年累计给付以14.4万元为限。</w:t>
      </w:r>
    </w:p>
    <w:p w14:paraId="5AEF52A1">
      <w:pPr>
        <w:pStyle w:val="12"/>
        <w:numPr>
          <w:ilvl w:val="0"/>
          <w:numId w:val="3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外购药品及外购医疗器械费用医疗责任、特定药品费用医疗责任、恶性肿瘤先进疗法医疗责任（如有）、特定疾病异地转诊公共交通费用及住宿费用责任（如有）、意外紧急牙齿门急诊医疗费用责任及全球紧急救援服务责任共享保险金额。</w:t>
      </w:r>
    </w:p>
    <w:p w14:paraId="7CB1F27F">
      <w:pPr>
        <w:pStyle w:val="12"/>
        <w:adjustRightInd w:val="0"/>
        <w:snapToGrid w:val="0"/>
        <w:ind w:firstLine="0" w:firstLineChars="0"/>
        <w:rPr>
          <w:rFonts w:hint="eastAsia" w:ascii="微软雅黑" w:hAnsi="微软雅黑" w:eastAsia="微软雅黑"/>
          <w:szCs w:val="21"/>
        </w:rPr>
      </w:pPr>
    </w:p>
    <w:p w14:paraId="12DE6402">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特定疾病异地转诊公共交通及住宿费用责任</w:t>
      </w:r>
    </w:p>
    <w:p w14:paraId="1A685356">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在保险期间内，被保险人因遭受意外伤害事故或在等待期30天后经以下就诊医院范围的专科医生初次确诊罹患本合同约定的特定疾病：</w:t>
      </w:r>
    </w:p>
    <w:p w14:paraId="778D4AB8">
      <w:pPr>
        <w:pStyle w:val="12"/>
        <w:numPr>
          <w:ilvl w:val="0"/>
          <w:numId w:val="36"/>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必选计划一：</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的普通部、特需部、国际部、VIP部（不包括观察室、联合病房和康复病房）；</w:t>
      </w:r>
    </w:p>
    <w:p w14:paraId="2BEFF54D">
      <w:pPr>
        <w:pStyle w:val="12"/>
        <w:numPr>
          <w:ilvl w:val="0"/>
          <w:numId w:val="37"/>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除外医疗机构）及本保单约定的指定私立医院的普通部、特需部、国际部、VIP部（不包括观察室、联合病房和康复病房）。</w:t>
      </w:r>
    </w:p>
    <w:p w14:paraId="0EF0EB26">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因治疗该特定疾病需要前往治疗地（治疗地仅限中国大陆境内，不包括境外及港澳台地区）接受符合该特定疾病治疗而产生的、被保险人和被保险人的一名亲属陪同时（如有）的、必需且合理的、因异地转诊产生的特定疾病异地转诊公共交通费用和特定疾病异地转诊住宿费用；</w:t>
      </w:r>
    </w:p>
    <w:p w14:paraId="01507047">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保险人按100%的赔付比例给付本项保险金，年累计给付金额、异地转诊公共交通费用、异地转诊住宿费用以下述对应计划的保额为限：</w:t>
      </w:r>
    </w:p>
    <w:p w14:paraId="2D2FD821">
      <w:pPr>
        <w:pStyle w:val="12"/>
        <w:numPr>
          <w:ilvl w:val="0"/>
          <w:numId w:val="38"/>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计划一</w:t>
      </w:r>
      <w:r>
        <w:rPr>
          <w:rFonts w:hint="eastAsia" w:ascii="微软雅黑" w:hAnsi="微软雅黑" w:eastAsia="微软雅黑"/>
          <w:szCs w:val="21"/>
        </w:rPr>
        <w:t>的年累计给付金额以3万元为限，</w:t>
      </w:r>
      <w:r>
        <w:rPr>
          <w:rFonts w:hint="eastAsia" w:ascii="微软雅黑" w:hAnsi="微软雅黑" w:eastAsia="微软雅黑"/>
          <w:b/>
          <w:bCs/>
          <w:szCs w:val="21"/>
        </w:rPr>
        <w:t>计划二</w:t>
      </w:r>
      <w:r>
        <w:rPr>
          <w:rFonts w:hint="eastAsia" w:ascii="微软雅黑" w:hAnsi="微软雅黑" w:eastAsia="微软雅黑"/>
          <w:szCs w:val="21"/>
        </w:rPr>
        <w:t>的年累计给付金额以5万元为限。</w:t>
      </w:r>
    </w:p>
    <w:p w14:paraId="1F832A81">
      <w:pPr>
        <w:pStyle w:val="12"/>
        <w:numPr>
          <w:ilvl w:val="0"/>
          <w:numId w:val="3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异地转诊公共交通费：不限舱位等级；</w:t>
      </w:r>
    </w:p>
    <w:p w14:paraId="06025967">
      <w:pPr>
        <w:pStyle w:val="12"/>
        <w:numPr>
          <w:ilvl w:val="0"/>
          <w:numId w:val="3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异地转诊住宿费用：住宿酒店等级无限制，单日特定疾病异地转诊住宿费用无单独限制。</w:t>
      </w:r>
    </w:p>
    <w:p w14:paraId="42402D91">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亲属陪同人员的行程、往返日期、航班或车次必须与被保险人的完全一致。</w:t>
      </w:r>
    </w:p>
    <w:p w14:paraId="7467A0D1">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住宿费为到达转院目的地后的住宿费，仅包括每一次治疗开始时间（以医院收费票据为准）前两天（含）至治疗结束时间（以医院收费票据为准）后两天（含）。</w:t>
      </w:r>
    </w:p>
    <w:p w14:paraId="7B23EAB4">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亲属指被保险人本人的配偶、父母、配偶的父母、子女、兄弟或姐妹、（外）祖父母、（外）孙子女。</w:t>
      </w:r>
    </w:p>
    <w:p w14:paraId="26C909C3">
      <w:pPr>
        <w:pStyle w:val="12"/>
        <w:numPr>
          <w:ilvl w:val="0"/>
          <w:numId w:val="3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外购药品及外购医疗器械费用医疗责任、特定药品费用医疗责任、恶性肿瘤先进疗法医疗责任（如有）、意外紧急牙齿门急诊医疗费用责任、全球紧急救援服务责任共享保险金额。</w:t>
      </w:r>
    </w:p>
    <w:p w14:paraId="303D8802">
      <w:pPr>
        <w:pStyle w:val="12"/>
        <w:adjustRightInd w:val="0"/>
        <w:snapToGrid w:val="0"/>
        <w:ind w:firstLine="0" w:firstLineChars="0"/>
        <w:rPr>
          <w:rFonts w:hint="eastAsia" w:ascii="微软雅黑" w:hAnsi="微软雅黑" w:eastAsia="微软雅黑"/>
          <w:szCs w:val="21"/>
        </w:rPr>
      </w:pPr>
    </w:p>
    <w:p w14:paraId="3DA71C76">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意外紧急牙齿门急诊医疗费用责任</w:t>
      </w:r>
    </w:p>
    <w:p w14:paraId="0BF0CB57">
      <w:pPr>
        <w:pStyle w:val="12"/>
        <w:numPr>
          <w:ilvl w:val="0"/>
          <w:numId w:val="39"/>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遇意外伤害导致其自然牙齿或牙龈伤害而在意外伤害发生后二十四小时内进行的医疗上必要的牙科门急诊治疗的费用（不包括牙齿保健和修复相关费用）以及在意外事故发生后30日内的后续诊疗的费用（包括处方医药用品和药品的费用，但不包括牙齿保健和修复相关费用）</w:t>
      </w:r>
    </w:p>
    <w:p w14:paraId="3312761E">
      <w:pPr>
        <w:pStyle w:val="12"/>
        <w:numPr>
          <w:ilvl w:val="0"/>
          <w:numId w:val="39"/>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本责任年免赔额0元。</w:t>
      </w:r>
    </w:p>
    <w:p w14:paraId="5DD8E736">
      <w:pPr>
        <w:pStyle w:val="12"/>
        <w:numPr>
          <w:ilvl w:val="0"/>
          <w:numId w:val="39"/>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w:t>
      </w:r>
    </w:p>
    <w:p w14:paraId="652ADFFA">
      <w:pPr>
        <w:pStyle w:val="12"/>
        <w:numPr>
          <w:ilvl w:val="1"/>
          <w:numId w:val="4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赔付比例100%，年累计给付以60</w:t>
      </w:r>
      <w:r>
        <w:rPr>
          <w:rFonts w:ascii="微软雅黑" w:hAnsi="微软雅黑" w:eastAsia="微软雅黑"/>
          <w:szCs w:val="21"/>
        </w:rPr>
        <w:t>0</w:t>
      </w:r>
      <w:r>
        <w:rPr>
          <w:rFonts w:hint="eastAsia" w:ascii="微软雅黑" w:hAnsi="微软雅黑" w:eastAsia="微软雅黑"/>
          <w:szCs w:val="21"/>
        </w:rPr>
        <w:t>万元为限；</w:t>
      </w:r>
    </w:p>
    <w:p w14:paraId="40E98AB6">
      <w:pPr>
        <w:pStyle w:val="12"/>
        <w:numPr>
          <w:ilvl w:val="1"/>
          <w:numId w:val="4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赔付比例100%，年累计给付以80</w:t>
      </w:r>
      <w:r>
        <w:rPr>
          <w:rFonts w:ascii="微软雅黑" w:hAnsi="微软雅黑" w:eastAsia="微软雅黑"/>
          <w:szCs w:val="21"/>
        </w:rPr>
        <w:t>0</w:t>
      </w:r>
      <w:r>
        <w:rPr>
          <w:rFonts w:hint="eastAsia" w:ascii="微软雅黑" w:hAnsi="微软雅黑" w:eastAsia="微软雅黑"/>
          <w:szCs w:val="21"/>
        </w:rPr>
        <w:t>万元为限；</w:t>
      </w:r>
    </w:p>
    <w:p w14:paraId="6E4A3D7E">
      <w:pPr>
        <w:pStyle w:val="12"/>
        <w:numPr>
          <w:ilvl w:val="0"/>
          <w:numId w:val="39"/>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此项保障内容不受保障区域限制。</w:t>
      </w:r>
    </w:p>
    <w:p w14:paraId="30E3A9F5">
      <w:pPr>
        <w:pStyle w:val="12"/>
        <w:numPr>
          <w:ilvl w:val="0"/>
          <w:numId w:val="39"/>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本责任与一般医疗保险金、特定疾病医疗责任、外购药品及外购医疗器械费用责任、特定药品费用医疗责任、恶性肿瘤先进疗法医疗责任（如有）、特定疾病异地转诊公共交通费用及住宿费用责任（如有）、特定疾病住院津贴责任金（如有）及全球紧急救援服务责任共享保险金额。</w:t>
      </w:r>
    </w:p>
    <w:p w14:paraId="3714576C">
      <w:pPr>
        <w:pStyle w:val="12"/>
        <w:adjustRightInd w:val="0"/>
        <w:snapToGrid w:val="0"/>
        <w:spacing w:before="62" w:beforeLines="20"/>
        <w:ind w:firstLine="0" w:firstLineChars="0"/>
        <w:rPr>
          <w:rFonts w:hint="eastAsia" w:ascii="微软雅黑" w:hAnsi="微软雅黑" w:eastAsia="微软雅黑"/>
          <w:b/>
          <w:bCs/>
          <w:szCs w:val="21"/>
        </w:rPr>
      </w:pPr>
    </w:p>
    <w:p w14:paraId="4E43EDCA">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全球紧急救援服务责任</w:t>
      </w:r>
    </w:p>
    <w:p w14:paraId="1F063B12">
      <w:pPr>
        <w:pStyle w:val="12"/>
        <w:numPr>
          <w:ilvl w:val="0"/>
          <w:numId w:val="41"/>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在保险期间内，被保险人以短期旅游签证或短期商务签证的身份，在本合同约定的保障区域以外的全球其他国家和地区进行90天以内的短期旅行时，且该行程不是违背医嘱，也不是以寻求任何海外医疗或外科手术为目的，遭受意外伤害或在等待期30天后罹患本合同约定的突发性疾病，需要以下1-4类紧急援助服务</w:t>
      </w:r>
    </w:p>
    <w:p w14:paraId="39B1471E">
      <w:pPr>
        <w:pStyle w:val="12"/>
        <w:adjustRightInd w:val="0"/>
        <w:snapToGrid w:val="0"/>
        <w:spacing w:before="62" w:beforeLines="20"/>
        <w:ind w:left="420" w:firstLine="0" w:firstLineChars="0"/>
        <w:rPr>
          <w:rFonts w:hint="eastAsia" w:ascii="微软雅黑" w:hAnsi="微软雅黑" w:eastAsia="微软雅黑"/>
          <w:szCs w:val="21"/>
        </w:rPr>
      </w:pPr>
      <w:r>
        <w:rPr>
          <w:rFonts w:hint="eastAsia" w:ascii="微软雅黑" w:hAnsi="微软雅黑" w:eastAsia="微软雅黑"/>
          <w:szCs w:val="21"/>
        </w:rPr>
        <w:t>a)</w:t>
      </w:r>
      <w:r>
        <w:rPr>
          <w:rFonts w:hint="eastAsia" w:ascii="微软雅黑" w:hAnsi="微软雅黑" w:eastAsia="微软雅黑"/>
          <w:szCs w:val="21"/>
        </w:rPr>
        <w:tab/>
      </w:r>
      <w:r>
        <w:rPr>
          <w:rFonts w:hint="eastAsia" w:ascii="微软雅黑" w:hAnsi="微软雅黑" w:eastAsia="微软雅黑"/>
          <w:szCs w:val="21"/>
        </w:rPr>
        <w:t>紧急医疗评估、预约和推荐、电话医疗建议</w:t>
      </w:r>
    </w:p>
    <w:p w14:paraId="61020EFB">
      <w:pPr>
        <w:pStyle w:val="12"/>
        <w:adjustRightInd w:val="0"/>
        <w:snapToGrid w:val="0"/>
        <w:spacing w:before="62" w:beforeLines="20"/>
        <w:ind w:left="420" w:firstLine="0" w:firstLineChars="0"/>
        <w:rPr>
          <w:rFonts w:hint="eastAsia" w:ascii="微软雅黑" w:hAnsi="微软雅黑" w:eastAsia="微软雅黑"/>
          <w:szCs w:val="21"/>
        </w:rPr>
      </w:pPr>
      <w:r>
        <w:rPr>
          <w:rFonts w:hint="eastAsia" w:ascii="微软雅黑" w:hAnsi="微软雅黑" w:eastAsia="微软雅黑"/>
          <w:szCs w:val="21"/>
        </w:rPr>
        <w:t>b)</w:t>
      </w:r>
      <w:r>
        <w:rPr>
          <w:rFonts w:hint="eastAsia" w:ascii="微软雅黑" w:hAnsi="微软雅黑" w:eastAsia="微软雅黑"/>
          <w:szCs w:val="21"/>
        </w:rPr>
        <w:tab/>
      </w:r>
      <w:r>
        <w:rPr>
          <w:rFonts w:hint="eastAsia" w:ascii="微软雅黑" w:hAnsi="微软雅黑" w:eastAsia="微软雅黑"/>
          <w:szCs w:val="21"/>
        </w:rPr>
        <w:t>紧急医疗运送和送返</w:t>
      </w:r>
    </w:p>
    <w:p w14:paraId="27059F28">
      <w:pPr>
        <w:pStyle w:val="12"/>
        <w:adjustRightInd w:val="0"/>
        <w:snapToGrid w:val="0"/>
        <w:spacing w:before="62" w:beforeLines="20"/>
        <w:ind w:left="420" w:firstLine="0" w:firstLineChars="0"/>
        <w:rPr>
          <w:rFonts w:hint="eastAsia" w:ascii="微软雅黑" w:hAnsi="微软雅黑" w:eastAsia="微软雅黑"/>
          <w:szCs w:val="21"/>
        </w:rPr>
      </w:pPr>
      <w:r>
        <w:rPr>
          <w:rFonts w:hint="eastAsia" w:ascii="微软雅黑" w:hAnsi="微软雅黑" w:eastAsia="微软雅黑"/>
          <w:szCs w:val="21"/>
        </w:rPr>
        <w:t>c)</w:t>
      </w:r>
      <w:r>
        <w:rPr>
          <w:rFonts w:hint="eastAsia" w:ascii="微软雅黑" w:hAnsi="微软雅黑" w:eastAsia="微软雅黑"/>
          <w:szCs w:val="21"/>
        </w:rPr>
        <w:tab/>
      </w:r>
      <w:r>
        <w:rPr>
          <w:rFonts w:hint="eastAsia" w:ascii="微软雅黑" w:hAnsi="微软雅黑" w:eastAsia="微软雅黑"/>
          <w:szCs w:val="21"/>
        </w:rPr>
        <w:t>遗体或骨灰送返运</w:t>
      </w:r>
    </w:p>
    <w:p w14:paraId="4293C31F">
      <w:pPr>
        <w:pStyle w:val="12"/>
        <w:adjustRightInd w:val="0"/>
        <w:snapToGrid w:val="0"/>
        <w:spacing w:before="62" w:beforeLines="20"/>
        <w:ind w:left="420" w:firstLine="0" w:firstLineChars="0"/>
        <w:rPr>
          <w:rFonts w:hint="eastAsia" w:ascii="微软雅黑" w:hAnsi="微软雅黑" w:eastAsia="微软雅黑"/>
          <w:szCs w:val="21"/>
        </w:rPr>
      </w:pPr>
      <w:r>
        <w:rPr>
          <w:rFonts w:hint="eastAsia" w:ascii="微软雅黑" w:hAnsi="微软雅黑" w:eastAsia="微软雅黑"/>
          <w:szCs w:val="21"/>
        </w:rPr>
        <w:t>d)</w:t>
      </w:r>
      <w:r>
        <w:rPr>
          <w:rFonts w:hint="eastAsia" w:ascii="微软雅黑" w:hAnsi="微软雅黑" w:eastAsia="微软雅黑"/>
          <w:szCs w:val="21"/>
        </w:rPr>
        <w:tab/>
      </w:r>
      <w:r>
        <w:rPr>
          <w:rFonts w:hint="eastAsia" w:ascii="微软雅黑" w:hAnsi="微软雅黑" w:eastAsia="微软雅黑"/>
          <w:szCs w:val="21"/>
        </w:rPr>
        <w:t>亲属前往处理后事</w:t>
      </w:r>
    </w:p>
    <w:p w14:paraId="5CD8BC6C">
      <w:pPr>
        <w:pStyle w:val="12"/>
        <w:numPr>
          <w:ilvl w:val="0"/>
          <w:numId w:val="41"/>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本责任年免赔额0元。</w:t>
      </w:r>
    </w:p>
    <w:p w14:paraId="129F7AC8">
      <w:pPr>
        <w:pStyle w:val="12"/>
        <w:numPr>
          <w:ilvl w:val="0"/>
          <w:numId w:val="41"/>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保险人按下述对应计划约定的赔付比例给付本项保险金：</w:t>
      </w:r>
    </w:p>
    <w:p w14:paraId="0B35FB10">
      <w:pPr>
        <w:pStyle w:val="12"/>
        <w:numPr>
          <w:ilvl w:val="1"/>
          <w:numId w:val="4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赔付比例100%，年累计给付以60</w:t>
      </w:r>
      <w:r>
        <w:rPr>
          <w:rFonts w:ascii="微软雅黑" w:hAnsi="微软雅黑" w:eastAsia="微软雅黑"/>
          <w:szCs w:val="21"/>
        </w:rPr>
        <w:t>0</w:t>
      </w:r>
      <w:r>
        <w:rPr>
          <w:rFonts w:hint="eastAsia" w:ascii="微软雅黑" w:hAnsi="微软雅黑" w:eastAsia="微软雅黑"/>
          <w:szCs w:val="21"/>
        </w:rPr>
        <w:t>万元为限；</w:t>
      </w:r>
    </w:p>
    <w:p w14:paraId="30ED5554">
      <w:pPr>
        <w:pStyle w:val="12"/>
        <w:numPr>
          <w:ilvl w:val="1"/>
          <w:numId w:val="4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赔付比例100%，年累计给付以80</w:t>
      </w:r>
      <w:r>
        <w:rPr>
          <w:rFonts w:ascii="微软雅黑" w:hAnsi="微软雅黑" w:eastAsia="微软雅黑"/>
          <w:szCs w:val="21"/>
        </w:rPr>
        <w:t>0</w:t>
      </w:r>
      <w:r>
        <w:rPr>
          <w:rFonts w:hint="eastAsia" w:ascii="微软雅黑" w:hAnsi="微软雅黑" w:eastAsia="微软雅黑"/>
          <w:szCs w:val="21"/>
        </w:rPr>
        <w:t>万元为限；</w:t>
      </w:r>
    </w:p>
    <w:p w14:paraId="4D87C46B">
      <w:pPr>
        <w:pStyle w:val="12"/>
        <w:numPr>
          <w:ilvl w:val="0"/>
          <w:numId w:val="41"/>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此项保障内容不受保障区域限制。</w:t>
      </w:r>
    </w:p>
    <w:p w14:paraId="6C871C41">
      <w:pPr>
        <w:pStyle w:val="12"/>
        <w:numPr>
          <w:ilvl w:val="0"/>
          <w:numId w:val="41"/>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本责任与一般医疗责任、特定疾病医疗责任、外购药品及外购医疗器械费用医疗责任、特定药品费用医疗责任、恶性肿瘤先进疗法医疗责任（如有）、特定疾病异地转诊公共交通费用及住宿费用责任（如有）、特定疾病住院津贴责任（如有）及意外紧急牙齿门急诊医疗费用责任共享保险金额。</w:t>
      </w:r>
    </w:p>
    <w:p w14:paraId="4AB2E713">
      <w:pPr>
        <w:pStyle w:val="12"/>
        <w:adjustRightInd w:val="0"/>
        <w:snapToGrid w:val="0"/>
        <w:spacing w:before="62" w:beforeLines="20"/>
        <w:ind w:firstLine="0" w:firstLineChars="0"/>
        <w:rPr>
          <w:rFonts w:hint="eastAsia" w:ascii="微软雅黑" w:hAnsi="微软雅黑" w:eastAsia="微软雅黑"/>
          <w:b/>
          <w:bCs/>
          <w:szCs w:val="21"/>
        </w:rPr>
      </w:pPr>
    </w:p>
    <w:p w14:paraId="44D69AE6">
      <w:pPr>
        <w:pStyle w:val="12"/>
        <w:numPr>
          <w:ilvl w:val="0"/>
          <w:numId w:val="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本产品必选计划总保险金额：</w:t>
      </w:r>
    </w:p>
    <w:p w14:paraId="78014D82">
      <w:pPr>
        <w:pStyle w:val="12"/>
        <w:numPr>
          <w:ilvl w:val="1"/>
          <w:numId w:val="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必选计划一</w:t>
      </w:r>
      <w:r>
        <w:rPr>
          <w:rFonts w:hint="eastAsia" w:ascii="微软雅黑" w:hAnsi="微软雅黑" w:eastAsia="微软雅黑"/>
          <w:szCs w:val="21"/>
        </w:rPr>
        <w:t>的总保险金额为600万元；</w:t>
      </w:r>
    </w:p>
    <w:p w14:paraId="650759E7">
      <w:pPr>
        <w:pStyle w:val="12"/>
        <w:numPr>
          <w:ilvl w:val="1"/>
          <w:numId w:val="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的总保险金额为800万元；</w:t>
      </w:r>
    </w:p>
    <w:p w14:paraId="305A9FD1">
      <w:pPr>
        <w:pStyle w:val="12"/>
        <w:numPr>
          <w:ilvl w:val="1"/>
          <w:numId w:val="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具体投保计划</w:t>
      </w:r>
      <w:r>
        <w:rPr>
          <w:rFonts w:hint="eastAsia" w:ascii="微软雅黑" w:hAnsi="微软雅黑" w:eastAsia="微软雅黑"/>
          <w:szCs w:val="21"/>
        </w:rPr>
        <w:t>由投保人在投保时选择，并在本保单中载明。</w:t>
      </w:r>
    </w:p>
    <w:p w14:paraId="1FB1F3DD">
      <w:pPr>
        <w:pStyle w:val="12"/>
        <w:adjustRightInd w:val="0"/>
        <w:snapToGrid w:val="0"/>
        <w:ind w:firstLine="0" w:firstLineChars="0"/>
        <w:rPr>
          <w:rFonts w:hint="eastAsia" w:ascii="微软雅黑" w:hAnsi="微软雅黑" w:eastAsia="微软雅黑"/>
          <w:szCs w:val="21"/>
        </w:rPr>
      </w:pPr>
    </w:p>
    <w:p w14:paraId="08E51E16">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rPr>
      </w:pPr>
      <w:r>
        <w:rPr>
          <w:rFonts w:hint="eastAsia" w:ascii="微软雅黑" w:hAnsi="微软雅黑" w:eastAsia="微软雅黑"/>
          <w:b/>
          <w:bCs/>
          <w:szCs w:val="21"/>
        </w:rPr>
        <w:t>若您购买必选计划一，可以选择加购门急诊医疗加油包A。若您购买必选计划二，可以选择购买门急诊加油包A或门急诊加油包B。门急诊医疗加油包包含以下第1至3条：</w:t>
      </w:r>
    </w:p>
    <w:p w14:paraId="58BFD954">
      <w:pPr>
        <w:pStyle w:val="12"/>
        <w:numPr>
          <w:ilvl w:val="0"/>
          <w:numId w:val="4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门急诊医疗责任</w:t>
      </w:r>
    </w:p>
    <w:p w14:paraId="6A578A82">
      <w:pPr>
        <w:pStyle w:val="12"/>
        <w:numPr>
          <w:ilvl w:val="0"/>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因罹患疾病在以下就诊医院范围内接受门诊或急诊治疗，对于被保险人在门诊或急诊治疗期间发生的需个人支付的、必需且合理的门诊或急诊医疗费用：</w:t>
      </w:r>
    </w:p>
    <w:p w14:paraId="54C37D18">
      <w:pPr>
        <w:pStyle w:val="12"/>
        <w:numPr>
          <w:ilvl w:val="1"/>
          <w:numId w:val="45"/>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门急诊加油包A：</w:t>
      </w:r>
      <w:r>
        <w:rPr>
          <w:rFonts w:hint="eastAsia" w:ascii="微软雅黑" w:hAnsi="微软雅黑" w:eastAsia="微软雅黑"/>
          <w:szCs w:val="21"/>
        </w:rPr>
        <w:t>经中华人民共和国卫生部门审核认定的、当地基本医疗保险管理机构最新公布的二级及二级以上的定点医院（但不包括《扩展承保及除外医疗机构清单》中的医疗机构）的普通部、特需部、国际部、VIP部（不包括观察室、联合病房和康复病房）；</w:t>
      </w:r>
    </w:p>
    <w:p w14:paraId="3CA2B6D6">
      <w:pPr>
        <w:pStyle w:val="12"/>
        <w:numPr>
          <w:ilvl w:val="1"/>
          <w:numId w:val="45"/>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门急诊加油包B：</w:t>
      </w:r>
      <w:r>
        <w:rPr>
          <w:rFonts w:hint="eastAsia" w:ascii="微软雅黑" w:hAnsi="微软雅黑" w:eastAsia="微软雅黑"/>
          <w:szCs w:val="21"/>
        </w:rPr>
        <w:t>就诊医院限中华人民共和国卫生部门审核认定的、当地基本医疗保险管理机构最新公布的二级及二级以上的定点医院（但不包括《扩展承保及除外医疗机构清单》中的除外医疗机构）的普通部、特需部、国际部、VIP部及本保单约定的指定私立医院；</w:t>
      </w:r>
    </w:p>
    <w:p w14:paraId="28CFB619">
      <w:pPr>
        <w:pStyle w:val="12"/>
        <w:numPr>
          <w:ilvl w:val="0"/>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本责任按下述对应计划约定的赔付比例给付本项保险金，保单年度内累计给付以下述对应计划的保额为限：</w:t>
      </w:r>
    </w:p>
    <w:p w14:paraId="4389A40A">
      <w:pPr>
        <w:pStyle w:val="12"/>
        <w:numPr>
          <w:ilvl w:val="1"/>
          <w:numId w:val="34"/>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门急诊加油包A</w:t>
      </w:r>
      <w:r>
        <w:rPr>
          <w:rFonts w:hint="eastAsia" w:ascii="微软雅黑" w:hAnsi="微软雅黑" w:eastAsia="微软雅黑"/>
          <w:szCs w:val="21"/>
        </w:rPr>
        <w:t>：赔付比例为100%，保额为5万元；</w:t>
      </w:r>
    </w:p>
    <w:p w14:paraId="42CCC856">
      <w:pPr>
        <w:pStyle w:val="12"/>
        <w:numPr>
          <w:ilvl w:val="1"/>
          <w:numId w:val="34"/>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门急诊加油包B：</w:t>
      </w:r>
      <w:r>
        <w:rPr>
          <w:rFonts w:hint="eastAsia" w:ascii="微软雅黑" w:hAnsi="微软雅黑" w:eastAsia="微软雅黑"/>
          <w:szCs w:val="21"/>
        </w:rPr>
        <w:t>赔付比例为100%，但在本保单约定的四家和睦家医疗集团下医疗机构的赔付比例调整为70%，保额为5万元；</w:t>
      </w:r>
    </w:p>
    <w:p w14:paraId="542B3B1D">
      <w:pPr>
        <w:pStyle w:val="12"/>
        <w:numPr>
          <w:ilvl w:val="0"/>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单次门急诊指被保险人同一天在同一医院同一科室所进行的门诊或急诊治疗。</w:t>
      </w:r>
    </w:p>
    <w:p w14:paraId="19879863">
      <w:pPr>
        <w:pStyle w:val="12"/>
        <w:numPr>
          <w:ilvl w:val="0"/>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本责任的以下费用有单独约定：</w:t>
      </w:r>
    </w:p>
    <w:p w14:paraId="01EDC112">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单次诊疗费：单次诊疗费以800元/次为限；</w:t>
      </w:r>
    </w:p>
    <w:p w14:paraId="264B5572">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药品费：累计给付金额以1万元为限；</w:t>
      </w:r>
    </w:p>
    <w:p w14:paraId="55BE91F0">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西式理疗费、中式理疗费、中医治疗费：累计给付次数之和以10次为限，累计给付金额之和以5000元为限；</w:t>
      </w:r>
    </w:p>
    <w:p w14:paraId="5AE03442">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视为门诊医疗的临终关怀费：无单独限制；</w:t>
      </w:r>
    </w:p>
    <w:p w14:paraId="25A1F976">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耐用医疗设备费：累计给付金额以1万元为限；</w:t>
      </w:r>
    </w:p>
    <w:p w14:paraId="03B00D9E">
      <w:pPr>
        <w:pStyle w:val="12"/>
        <w:numPr>
          <w:ilvl w:val="1"/>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cs="微软雅黑"/>
          <w:bCs/>
          <w:sz w:val="20"/>
          <w:szCs w:val="22"/>
        </w:rPr>
        <w:t>精神和心理障碍治疗费：累计给付次数以</w:t>
      </w:r>
      <w:r>
        <w:rPr>
          <w:rFonts w:ascii="微软雅黑" w:hAnsi="微软雅黑" w:eastAsia="微软雅黑" w:cs="微软雅黑"/>
          <w:bCs/>
          <w:sz w:val="20"/>
          <w:szCs w:val="22"/>
        </w:rPr>
        <w:t>10</w:t>
      </w:r>
      <w:r>
        <w:rPr>
          <w:rFonts w:hint="eastAsia" w:ascii="微软雅黑" w:hAnsi="微软雅黑" w:eastAsia="微软雅黑" w:cs="微软雅黑"/>
          <w:bCs/>
          <w:sz w:val="20"/>
          <w:szCs w:val="22"/>
        </w:rPr>
        <w:t>次为限，累计给付金额以</w:t>
      </w:r>
      <w:r>
        <w:rPr>
          <w:rFonts w:ascii="微软雅黑" w:hAnsi="微软雅黑" w:eastAsia="微软雅黑" w:cs="微软雅黑"/>
          <w:bCs/>
          <w:sz w:val="20"/>
          <w:szCs w:val="22"/>
        </w:rPr>
        <w:t>2</w:t>
      </w:r>
      <w:r>
        <w:rPr>
          <w:rFonts w:hint="eastAsia" w:ascii="微软雅黑" w:hAnsi="微软雅黑" w:eastAsia="微软雅黑" w:cs="微软雅黑"/>
          <w:bCs/>
          <w:sz w:val="20"/>
          <w:szCs w:val="22"/>
        </w:rPr>
        <w:t>000元为限。</w:t>
      </w:r>
    </w:p>
    <w:p w14:paraId="157789E3">
      <w:pPr>
        <w:pStyle w:val="12"/>
        <w:numPr>
          <w:ilvl w:val="0"/>
          <w:numId w:val="44"/>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特别提示（如您在购买门急诊加油包B的同时加购昂贵医疗加油包）</w:t>
      </w:r>
      <w:r>
        <w:rPr>
          <w:rFonts w:hint="eastAsia" w:ascii="微软雅黑" w:hAnsi="微软雅黑" w:eastAsia="微软雅黑"/>
          <w:szCs w:val="21"/>
        </w:rPr>
        <w:t>：本责任的就诊医院范围为中国大陆境内（不包括境外及港澳台地区）经中华人民共和国卫生部门审核认定的所有医院，且赔付比例均为100%。</w:t>
      </w:r>
    </w:p>
    <w:p w14:paraId="270BDCDC">
      <w:pPr>
        <w:pStyle w:val="12"/>
        <w:numPr>
          <w:ilvl w:val="0"/>
          <w:numId w:val="4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互联网药品费用医疗保险金</w:t>
      </w:r>
    </w:p>
    <w:p w14:paraId="2DE001E0">
      <w:pPr>
        <w:pStyle w:val="12"/>
        <w:numPr>
          <w:ilvl w:val="0"/>
          <w:numId w:val="4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在保险期间内，被保险人在等待期30天后因遭受意外伤害事故或因患疾病；</w:t>
      </w:r>
    </w:p>
    <w:p w14:paraId="05B4BEC7">
      <w:pPr>
        <w:pStyle w:val="12"/>
        <w:numPr>
          <w:ilvl w:val="0"/>
          <w:numId w:val="4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在众安互联网医院发生的常规药品（以互联网医院开具处方为准）购药费用，每次购药费用按</w:t>
      </w:r>
      <w:r>
        <w:rPr>
          <w:rFonts w:ascii="微软雅黑" w:hAnsi="微软雅黑" w:eastAsia="微软雅黑"/>
          <w:szCs w:val="21"/>
        </w:rPr>
        <w:t>10</w:t>
      </w:r>
      <w:r>
        <w:rPr>
          <w:rFonts w:hint="eastAsia" w:ascii="微软雅黑" w:hAnsi="微软雅黑" w:eastAsia="微软雅黑"/>
          <w:szCs w:val="21"/>
        </w:rPr>
        <w:t>0%赔付比例进行赔付，单次赔付限额为</w:t>
      </w:r>
      <w:r>
        <w:rPr>
          <w:rFonts w:ascii="微软雅黑" w:hAnsi="微软雅黑" w:eastAsia="微软雅黑"/>
          <w:szCs w:val="21"/>
        </w:rPr>
        <w:t>100</w:t>
      </w:r>
      <w:r>
        <w:rPr>
          <w:rFonts w:hint="eastAsia" w:ascii="微软雅黑" w:hAnsi="微软雅黑" w:eastAsia="微软雅黑"/>
          <w:szCs w:val="21"/>
        </w:rPr>
        <w:t>元，累计给付限额为</w:t>
      </w:r>
      <w:r>
        <w:rPr>
          <w:rFonts w:ascii="微软雅黑" w:hAnsi="微软雅黑" w:eastAsia="微软雅黑"/>
          <w:szCs w:val="21"/>
        </w:rPr>
        <w:t>1200</w:t>
      </w:r>
      <w:r>
        <w:rPr>
          <w:rFonts w:hint="eastAsia" w:ascii="微软雅黑" w:hAnsi="微软雅黑" w:eastAsia="微软雅黑"/>
          <w:szCs w:val="21"/>
        </w:rPr>
        <w:t>元；</w:t>
      </w:r>
    </w:p>
    <w:p w14:paraId="020787F4">
      <w:pPr>
        <w:pStyle w:val="12"/>
        <w:numPr>
          <w:ilvl w:val="0"/>
          <w:numId w:val="4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单次互联网医院药品费用指被保险人同一天在约定的互联网医院经同一个医生诊疗并开具处方，被保险人根据该处方在众安互联网医院提供的互联网药店购药所产生的药品费用。</w:t>
      </w:r>
    </w:p>
    <w:p w14:paraId="75F73CD5">
      <w:pPr>
        <w:pStyle w:val="12"/>
        <w:numPr>
          <w:ilvl w:val="0"/>
          <w:numId w:val="4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本合同承担的互联网医院药品费用须同时满足以下条件：</w:t>
      </w:r>
    </w:p>
    <w:p w14:paraId="28E5A321">
      <w:pPr>
        <w:pStyle w:val="12"/>
        <w:numPr>
          <w:ilvl w:val="1"/>
          <w:numId w:val="4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保险人仅承担《疾病清单》中限定疾病所产生的药品费用；</w:t>
      </w:r>
    </w:p>
    <w:p w14:paraId="0CAFFB30">
      <w:pPr>
        <w:pStyle w:val="12"/>
        <w:numPr>
          <w:ilvl w:val="1"/>
          <w:numId w:val="4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药品的使用条件须符合中国药品监督管理部门批准的该药品说明书所列明的适应症及用法用量；</w:t>
      </w:r>
    </w:p>
    <w:p w14:paraId="56441DE1">
      <w:pPr>
        <w:pStyle w:val="12"/>
        <w:numPr>
          <w:ilvl w:val="1"/>
          <w:numId w:val="4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每次的药品处方剂量不超过30日（含30日）；</w:t>
      </w:r>
    </w:p>
    <w:p w14:paraId="0E3B187C">
      <w:pPr>
        <w:pStyle w:val="12"/>
        <w:numPr>
          <w:ilvl w:val="1"/>
          <w:numId w:val="4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每个月限</w:t>
      </w:r>
      <w:r>
        <w:rPr>
          <w:rFonts w:ascii="微软雅黑" w:hAnsi="微软雅黑" w:eastAsia="微软雅黑"/>
          <w:szCs w:val="21"/>
        </w:rPr>
        <w:t>1</w:t>
      </w:r>
      <w:r>
        <w:rPr>
          <w:rFonts w:hint="eastAsia" w:ascii="微软雅黑" w:hAnsi="微软雅黑" w:eastAsia="微软雅黑"/>
          <w:szCs w:val="21"/>
        </w:rPr>
        <w:t>次开药，超出部分保险公司不承担责任；</w:t>
      </w:r>
    </w:p>
    <w:p w14:paraId="0C26F510">
      <w:pPr>
        <w:pStyle w:val="12"/>
        <w:numPr>
          <w:ilvl w:val="1"/>
          <w:numId w:val="4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6周岁（含）以下被保险人无法开具处方药品。</w:t>
      </w:r>
    </w:p>
    <w:p w14:paraId="43E443DA">
      <w:pPr>
        <w:pStyle w:val="12"/>
        <w:numPr>
          <w:ilvl w:val="0"/>
          <w:numId w:val="43"/>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紧急门急诊医疗费用保险金责任</w:t>
      </w:r>
      <w:bookmarkStart w:id="10" w:name="_GoBack"/>
      <w:bookmarkEnd w:id="10"/>
    </w:p>
    <w:p w14:paraId="11276C77">
      <w:pPr>
        <w:pStyle w:val="12"/>
        <w:numPr>
          <w:ilvl w:val="0"/>
          <w:numId w:val="4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在意外事故发生后二十四小时内对其因该意外事故造成的伤害进行急症诊疗所发生的医疗费用以及在意外事故发生后30日内提供的后续诊疗所发生的医疗费用（包括处方医药用品和药品的费用），未在意外事故发生后二十四小时内接受急诊治疗的，后续相关门诊治疗不在本项保险责任范围内。</w:t>
      </w:r>
    </w:p>
    <w:p w14:paraId="3078BA38">
      <w:pPr>
        <w:pStyle w:val="12"/>
        <w:numPr>
          <w:ilvl w:val="0"/>
          <w:numId w:val="4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本责任年免赔额0元。</w:t>
      </w:r>
    </w:p>
    <w:p w14:paraId="7924AA25">
      <w:pPr>
        <w:pStyle w:val="12"/>
        <w:numPr>
          <w:ilvl w:val="0"/>
          <w:numId w:val="4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保险金、特定疾病医疗保险金、外购药品及外购医疗器械费用医疗保险金、特定药品费用医疗保险金、恶性肿瘤先进疗法医疗保险金（如有）、特定疾病异地转诊公共交通费用及住宿费用保险金（如有）、特定疾病住院津贴保险金（如有）、意外紧急牙齿门急诊医疗费用保险金、全球紧急救援服务保险金的责任共享保险金额：</w:t>
      </w:r>
    </w:p>
    <w:p w14:paraId="157F6F5D">
      <w:pPr>
        <w:pStyle w:val="12"/>
        <w:numPr>
          <w:ilvl w:val="1"/>
          <w:numId w:val="49"/>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必选计划一：</w:t>
      </w:r>
      <w:r>
        <w:rPr>
          <w:rFonts w:hint="eastAsia" w:ascii="微软雅黑" w:hAnsi="微软雅黑" w:eastAsia="微软雅黑"/>
          <w:szCs w:val="21"/>
        </w:rPr>
        <w:t>600万元；</w:t>
      </w:r>
    </w:p>
    <w:p w14:paraId="54DFF895">
      <w:pPr>
        <w:pStyle w:val="12"/>
        <w:numPr>
          <w:ilvl w:val="1"/>
          <w:numId w:val="49"/>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必选计划二</w:t>
      </w:r>
      <w:r>
        <w:rPr>
          <w:rFonts w:hint="eastAsia" w:ascii="微软雅黑" w:hAnsi="微软雅黑" w:eastAsia="微软雅黑"/>
          <w:szCs w:val="21"/>
        </w:rPr>
        <w:t>：800万元；</w:t>
      </w:r>
    </w:p>
    <w:p w14:paraId="4A97D0CC">
      <w:pPr>
        <w:pStyle w:val="12"/>
        <w:numPr>
          <w:ilvl w:val="0"/>
          <w:numId w:val="48"/>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此项保障内容不受保障区域限制。</w:t>
      </w:r>
    </w:p>
    <w:p w14:paraId="770D0317">
      <w:pPr>
        <w:pStyle w:val="12"/>
        <w:adjustRightInd w:val="0"/>
        <w:snapToGrid w:val="0"/>
        <w:ind w:firstLine="0" w:firstLineChars="0"/>
        <w:rPr>
          <w:rFonts w:hint="eastAsia" w:ascii="微软雅黑" w:hAnsi="微软雅黑" w:eastAsia="微软雅黑"/>
          <w:szCs w:val="21"/>
        </w:rPr>
      </w:pPr>
    </w:p>
    <w:p w14:paraId="3D31F667">
      <w:pPr>
        <w:pStyle w:val="12"/>
        <w:numPr>
          <w:ilvl w:val="0"/>
          <w:numId w:val="2"/>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若您购买重大疾病加油包将包含以下第1条：</w:t>
      </w:r>
    </w:p>
    <w:p w14:paraId="40C6B485">
      <w:pPr>
        <w:pStyle w:val="12"/>
        <w:numPr>
          <w:ilvl w:val="0"/>
          <w:numId w:val="50"/>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重大疾病责任</w:t>
      </w:r>
    </w:p>
    <w:p w14:paraId="220829C3">
      <w:pPr>
        <w:pStyle w:val="12"/>
        <w:numPr>
          <w:ilvl w:val="0"/>
          <w:numId w:val="5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在保险期间内，被保险人因遭受意外伤害事故导致罹患或在等待期30天后，经中华人民共和国卫生部门审核认定的二级及二级以上的公立医院</w:t>
      </w:r>
      <w:r>
        <w:rPr>
          <w:rFonts w:hint="eastAsia" w:ascii="微软雅黑" w:hAnsi="微软雅黑" w:eastAsia="微软雅黑"/>
          <w:szCs w:val="21"/>
          <w:highlight w:val="yellow"/>
          <w:lang w:val="en-US" w:eastAsia="zh-CN"/>
        </w:rPr>
        <w:t>及本保单约定的指定民营医疗机构</w:t>
      </w:r>
      <w:r>
        <w:rPr>
          <w:rFonts w:hint="eastAsia" w:ascii="微软雅黑" w:hAnsi="微软雅黑" w:eastAsia="微软雅黑"/>
          <w:szCs w:val="21"/>
        </w:rPr>
        <w:t>的专科医生初次确诊罹患本产品定义的100种重大疾病，给付本合同约定的重大疾病保险金：</w:t>
      </w:r>
    </w:p>
    <w:p w14:paraId="2E36D058">
      <w:pPr>
        <w:pStyle w:val="12"/>
        <w:numPr>
          <w:ilvl w:val="1"/>
          <w:numId w:val="5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本产品重大疾病保险金的可选保额为5万元、</w:t>
      </w:r>
      <w:r>
        <w:rPr>
          <w:rFonts w:ascii="微软雅黑" w:hAnsi="微软雅黑" w:eastAsia="微软雅黑"/>
          <w:szCs w:val="21"/>
        </w:rPr>
        <w:t>10</w:t>
      </w:r>
      <w:r>
        <w:rPr>
          <w:rFonts w:hint="eastAsia" w:ascii="微软雅黑" w:hAnsi="微软雅黑" w:eastAsia="微软雅黑"/>
          <w:szCs w:val="21"/>
        </w:rPr>
        <w:t>万元、</w:t>
      </w:r>
      <w:r>
        <w:rPr>
          <w:rFonts w:ascii="微软雅黑" w:hAnsi="微软雅黑" w:eastAsia="微软雅黑"/>
          <w:szCs w:val="21"/>
        </w:rPr>
        <w:t>15</w:t>
      </w:r>
      <w:r>
        <w:rPr>
          <w:rFonts w:hint="eastAsia" w:ascii="微软雅黑" w:hAnsi="微软雅黑" w:eastAsia="微软雅黑"/>
          <w:szCs w:val="21"/>
        </w:rPr>
        <w:t>万元或</w:t>
      </w:r>
      <w:r>
        <w:rPr>
          <w:rFonts w:ascii="微软雅黑" w:hAnsi="微软雅黑" w:eastAsia="微软雅黑"/>
          <w:szCs w:val="21"/>
        </w:rPr>
        <w:t>20</w:t>
      </w:r>
      <w:r>
        <w:rPr>
          <w:rFonts w:hint="eastAsia" w:ascii="微软雅黑" w:hAnsi="微软雅黑" w:eastAsia="微软雅黑"/>
          <w:szCs w:val="21"/>
        </w:rPr>
        <w:t>万元；</w:t>
      </w:r>
    </w:p>
    <w:p w14:paraId="07E383C8">
      <w:pPr>
        <w:pStyle w:val="12"/>
        <w:numPr>
          <w:ilvl w:val="1"/>
          <w:numId w:val="52"/>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具体投保计划的保额</w:t>
      </w:r>
      <w:r>
        <w:rPr>
          <w:rFonts w:hint="eastAsia" w:ascii="微软雅黑" w:hAnsi="微软雅黑" w:eastAsia="微软雅黑"/>
          <w:szCs w:val="21"/>
        </w:rPr>
        <w:t>由投保人在投保时选择，并在本保单中载明。</w:t>
      </w:r>
    </w:p>
    <w:p w14:paraId="3E4351E5">
      <w:pPr>
        <w:pStyle w:val="12"/>
        <w:adjustRightInd w:val="0"/>
        <w:snapToGrid w:val="0"/>
        <w:ind w:firstLine="0" w:firstLineChars="0"/>
        <w:rPr>
          <w:rFonts w:hint="eastAsia" w:ascii="微软雅黑" w:hAnsi="微软雅黑" w:eastAsia="微软雅黑"/>
          <w:b/>
          <w:bCs/>
          <w:szCs w:val="21"/>
        </w:rPr>
      </w:pPr>
    </w:p>
    <w:p w14:paraId="31CD20F3">
      <w:pPr>
        <w:pStyle w:val="12"/>
        <w:numPr>
          <w:ilvl w:val="0"/>
          <w:numId w:val="2"/>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若您购买家庭共享免赔额加油包将包含以下第1条：</w:t>
      </w:r>
    </w:p>
    <w:p w14:paraId="2575DC40">
      <w:pPr>
        <w:pStyle w:val="12"/>
        <w:numPr>
          <w:ilvl w:val="0"/>
          <w:numId w:val="53"/>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家庭共享免赔额责任</w:t>
      </w:r>
    </w:p>
    <w:p w14:paraId="63AAFD87">
      <w:pPr>
        <w:pStyle w:val="12"/>
        <w:numPr>
          <w:ilvl w:val="0"/>
          <w:numId w:val="5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本保单同一投保人在同一订单内的被保险人，针对一般医疗保险金共享年免赔额1.5万元/3万元</w:t>
      </w:r>
    </w:p>
    <w:p w14:paraId="09BBDD8D">
      <w:pPr>
        <w:pStyle w:val="12"/>
        <w:adjustRightInd w:val="0"/>
        <w:snapToGrid w:val="0"/>
        <w:ind w:firstLine="0" w:firstLineChars="0"/>
        <w:rPr>
          <w:rFonts w:hint="eastAsia" w:ascii="微软雅黑" w:hAnsi="微软雅黑" w:eastAsia="微软雅黑"/>
          <w:b/>
          <w:bCs/>
          <w:szCs w:val="21"/>
        </w:rPr>
      </w:pPr>
    </w:p>
    <w:p w14:paraId="37A9878C">
      <w:pPr>
        <w:pStyle w:val="12"/>
        <w:numPr>
          <w:ilvl w:val="0"/>
          <w:numId w:val="2"/>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若您购买昂贵医院加油包将包含以下第1条（本加油包仅适用于必选计划二）：</w:t>
      </w:r>
    </w:p>
    <w:p w14:paraId="7DC1D907">
      <w:pPr>
        <w:pStyle w:val="12"/>
        <w:numPr>
          <w:ilvl w:val="0"/>
          <w:numId w:val="55"/>
        </w:numPr>
        <w:adjustRightInd w:val="0"/>
        <w:snapToGrid w:val="0"/>
        <w:spacing w:before="62" w:beforeLines="20"/>
        <w:ind w:firstLineChars="0"/>
        <w:rPr>
          <w:rFonts w:hint="eastAsia" w:ascii="微软雅黑" w:hAnsi="微软雅黑" w:eastAsia="微软雅黑"/>
          <w:szCs w:val="21"/>
        </w:rPr>
      </w:pPr>
      <w:r>
        <w:rPr>
          <w:rFonts w:hint="eastAsia" w:ascii="微软雅黑" w:hAnsi="微软雅黑" w:eastAsia="微软雅黑"/>
          <w:szCs w:val="21"/>
        </w:rPr>
        <w:t>一般医疗责任、特定疾病医疗、特定疾病住院津贴责任：</w:t>
      </w:r>
    </w:p>
    <w:p w14:paraId="10AFD336">
      <w:pPr>
        <w:pStyle w:val="12"/>
        <w:numPr>
          <w:ilvl w:val="0"/>
          <w:numId w:val="5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在中国大陆境内（不包括境外及港澳台地区）的就诊医院范围为经中华人民共和国卫生部门审核认定的所有医院，且赔付比例均为1</w:t>
      </w:r>
      <w:r>
        <w:rPr>
          <w:rFonts w:ascii="微软雅黑" w:hAnsi="微软雅黑" w:eastAsia="微软雅黑"/>
          <w:szCs w:val="21"/>
        </w:rPr>
        <w:t>00%</w:t>
      </w:r>
      <w:r>
        <w:rPr>
          <w:rFonts w:hint="eastAsia" w:ascii="微软雅黑" w:hAnsi="微软雅黑" w:eastAsia="微软雅黑"/>
          <w:szCs w:val="21"/>
        </w:rPr>
        <w:t>。</w:t>
      </w:r>
    </w:p>
    <w:p w14:paraId="11C1FFFA">
      <w:pPr>
        <w:pStyle w:val="12"/>
        <w:numPr>
          <w:ilvl w:val="0"/>
          <w:numId w:val="5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在中华人民共和国境外以及香港、澳门、台湾地区的就诊医院范围为本保单约定的指定私立医院（其中香港、日本、美国的指定私立医院仅适用于特定疾病医疗责任及特定疾病住院津贴责任），且赔付比例均为1</w:t>
      </w:r>
      <w:r>
        <w:rPr>
          <w:rFonts w:ascii="微软雅黑" w:hAnsi="微软雅黑" w:eastAsia="微软雅黑"/>
          <w:szCs w:val="21"/>
        </w:rPr>
        <w:t>00%</w:t>
      </w:r>
      <w:r>
        <w:rPr>
          <w:rFonts w:hint="eastAsia" w:ascii="微软雅黑" w:hAnsi="微软雅黑" w:eastAsia="微软雅黑"/>
          <w:szCs w:val="21"/>
        </w:rPr>
        <w:t>。</w:t>
      </w:r>
    </w:p>
    <w:p w14:paraId="28FC70E5">
      <w:pPr>
        <w:pStyle w:val="12"/>
        <w:adjustRightInd w:val="0"/>
        <w:snapToGrid w:val="0"/>
        <w:ind w:firstLine="0" w:firstLineChars="0"/>
        <w:rPr>
          <w:rFonts w:hint="eastAsia" w:ascii="微软雅黑" w:hAnsi="微软雅黑" w:eastAsia="微软雅黑"/>
          <w:szCs w:val="21"/>
        </w:rPr>
      </w:pPr>
    </w:p>
    <w:p w14:paraId="04D87EE3">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投被保险人要求</w:t>
      </w:r>
    </w:p>
    <w:p w14:paraId="00888F41">
      <w:pPr>
        <w:pStyle w:val="12"/>
        <w:numPr>
          <w:ilvl w:val="0"/>
          <w:numId w:val="5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投保人资格：18周岁及以上有完全民事行为能力人，并与被保险人存在可保利益；仅限在中国大陆地区有固定居所的人士投保。</w:t>
      </w:r>
    </w:p>
    <w:p w14:paraId="11EC5A5A">
      <w:pPr>
        <w:pStyle w:val="12"/>
        <w:numPr>
          <w:ilvl w:val="0"/>
          <w:numId w:val="5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被保险人年龄：投保时年龄为出生满3</w:t>
      </w:r>
      <w:r>
        <w:rPr>
          <w:rFonts w:ascii="微软雅黑" w:hAnsi="微软雅黑" w:eastAsia="微软雅黑"/>
          <w:szCs w:val="21"/>
        </w:rPr>
        <w:t>0</w:t>
      </w:r>
      <w:r>
        <w:rPr>
          <w:rFonts w:hint="eastAsia" w:ascii="微软雅黑" w:hAnsi="微软雅黑" w:eastAsia="微软雅黑"/>
          <w:szCs w:val="21"/>
        </w:rPr>
        <w:t>天（含）至70周岁（含）。</w:t>
      </w:r>
    </w:p>
    <w:p w14:paraId="3352E8D8">
      <w:pPr>
        <w:pStyle w:val="12"/>
        <w:numPr>
          <w:ilvl w:val="0"/>
          <w:numId w:val="5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被保险人资格：被保险人与投保人关系可为本人、配偶、子女、父母、配偶父母（经配偶父母同意）。</w:t>
      </w:r>
    </w:p>
    <w:p w14:paraId="0EBB63A7">
      <w:pPr>
        <w:pStyle w:val="12"/>
        <w:numPr>
          <w:ilvl w:val="0"/>
          <w:numId w:val="5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被保险人职业类别：被保险人不属于《众安保险特殊职业类别表》中的职业类别。</w:t>
      </w:r>
    </w:p>
    <w:p w14:paraId="45EAA9D7">
      <w:pPr>
        <w:pStyle w:val="12"/>
        <w:adjustRightInd w:val="0"/>
        <w:snapToGrid w:val="0"/>
        <w:ind w:firstLine="0" w:firstLineChars="0"/>
        <w:rPr>
          <w:rFonts w:hint="eastAsia" w:ascii="微软雅黑" w:hAnsi="微软雅黑" w:eastAsia="微软雅黑"/>
          <w:szCs w:val="21"/>
        </w:rPr>
      </w:pPr>
      <w:r>
        <w:rPr>
          <w:rFonts w:ascii="微软雅黑" w:hAnsi="微软雅黑" w:eastAsia="微软雅黑"/>
          <w:szCs w:val="21"/>
        </w:rPr>
        <w:object>
          <v:shape id="_x0000_i1025" o:spt="75" type="#_x0000_t75" style="height:47.5pt;width:64.5pt;" o:ole="t" filled="f" o:preferrelative="t" stroked="f" coordsize="21600,21600">
            <v:path/>
            <v:fill on="f" focussize="0,0"/>
            <v:stroke on="f" joinstyle="miter"/>
            <v:imagedata r:id="rId5" o:title=""/>
            <o:lock v:ext="edit" aspectratio="t"/>
            <w10:wrap type="none"/>
            <w10:anchorlock/>
          </v:shape>
          <o:OLEObject Type="Embed" ProgID="Package" ShapeID="_x0000_i1025" DrawAspect="Icon" ObjectID="_1468075725" r:id="rId4">
            <o:LockedField>false</o:LockedField>
          </o:OLEObject>
        </w:object>
      </w:r>
    </w:p>
    <w:p w14:paraId="568266B9">
      <w:pPr>
        <w:adjustRightInd w:val="0"/>
        <w:snapToGrid w:val="0"/>
        <w:rPr>
          <w:rFonts w:hint="eastAsia" w:ascii="微软雅黑" w:hAnsi="微软雅黑" w:eastAsia="微软雅黑"/>
          <w:szCs w:val="21"/>
        </w:rPr>
      </w:pPr>
    </w:p>
    <w:p w14:paraId="63AB9F9F">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产品说明</w:t>
      </w:r>
    </w:p>
    <w:p w14:paraId="4A177D7D">
      <w:pPr>
        <w:pStyle w:val="12"/>
        <w:numPr>
          <w:ilvl w:val="0"/>
          <w:numId w:val="58"/>
        </w:numPr>
        <w:adjustRightInd w:val="0"/>
        <w:snapToGrid w:val="0"/>
        <w:ind w:left="0" w:firstLine="0" w:firstLineChars="0"/>
        <w:rPr>
          <w:rFonts w:hint="eastAsia" w:ascii="微软雅黑" w:hAnsi="微软雅黑" w:eastAsia="微软雅黑"/>
          <w:b/>
          <w:szCs w:val="21"/>
        </w:rPr>
      </w:pPr>
      <w:r>
        <w:rPr>
          <w:rFonts w:hint="eastAsia" w:ascii="微软雅黑" w:hAnsi="微软雅黑" w:eastAsia="微软雅黑"/>
          <w:b/>
          <w:szCs w:val="21"/>
        </w:rPr>
        <w:t>产品名称及条款：本产品名称为尊享e生·中高端医疗保险</w:t>
      </w:r>
      <w:r>
        <w:rPr>
          <w:rFonts w:ascii="微软雅黑" w:hAnsi="微软雅黑" w:eastAsia="微软雅黑"/>
          <w:b/>
          <w:szCs w:val="21"/>
        </w:rPr>
        <w:t>PLUS</w:t>
      </w:r>
      <w:r>
        <w:rPr>
          <w:rFonts w:hint="eastAsia" w:ascii="微软雅黑" w:hAnsi="微软雅黑" w:eastAsia="微软雅黑"/>
          <w:b/>
          <w:szCs w:val="21"/>
        </w:rPr>
        <w:t>（2025版），</w:t>
      </w:r>
      <w:r>
        <w:rPr>
          <w:rFonts w:hint="eastAsia" w:ascii="微软雅黑" w:hAnsi="微软雅黑" w:eastAsia="微软雅黑" w:cs="微软雅黑"/>
          <w:b/>
          <w:color w:val="000000"/>
          <w:szCs w:val="21"/>
        </w:rPr>
        <w:t>请确认您已认真阅读投保须知、保障方案及</w:t>
      </w:r>
      <w:r>
        <w:rPr>
          <w:rFonts w:hint="eastAsia" w:ascii="微软雅黑" w:hAnsi="微软雅黑" w:eastAsia="微软雅黑" w:cs="微软雅黑"/>
          <w:b/>
          <w:color w:val="000000"/>
          <w:szCs w:val="21"/>
          <w:lang w:val="zh-CN"/>
        </w:rPr>
        <w:t>《众安在线财产保险股份有限公司个人医疗保险条款（互联网 2025 版 B 款）》(注册号：</w:t>
      </w:r>
      <w:r>
        <w:rPr>
          <w:rFonts w:ascii="微软雅黑" w:hAnsi="微软雅黑" w:eastAsia="微软雅黑" w:cs="微软雅黑"/>
          <w:b/>
          <w:color w:val="000000"/>
          <w:szCs w:val="21"/>
          <w:lang w:val="zh-CN"/>
        </w:rPr>
        <w:t>C00017932512025082907703</w:t>
      </w:r>
      <w:r>
        <w:rPr>
          <w:rFonts w:hint="eastAsia" w:ascii="微软雅黑" w:hAnsi="微软雅黑" w:eastAsia="微软雅黑" w:cs="微软雅黑"/>
          <w:b/>
          <w:color w:val="000000"/>
          <w:szCs w:val="21"/>
          <w:lang w:val="zh-CN"/>
        </w:rPr>
        <w:t>）、《众安在线财产保险股份有限公司附加全球紧急医疗费用保险条款（互联网 2025 版 A 款）》（注册号：</w:t>
      </w:r>
      <w:r>
        <w:rPr>
          <w:rFonts w:ascii="微软雅黑" w:hAnsi="微软雅黑" w:eastAsia="微软雅黑" w:cs="微软雅黑"/>
          <w:b/>
          <w:color w:val="000000"/>
          <w:szCs w:val="21"/>
          <w:lang w:val="zh-CN"/>
        </w:rPr>
        <w:t>C00017932522025090107813</w:t>
      </w:r>
      <w:r>
        <w:rPr>
          <w:rFonts w:hint="eastAsia" w:ascii="微软雅黑" w:hAnsi="微软雅黑" w:eastAsia="微软雅黑" w:cs="微软雅黑"/>
          <w:b/>
          <w:color w:val="000000"/>
          <w:szCs w:val="21"/>
          <w:lang w:val="zh-CN"/>
        </w:rPr>
        <w:t>）、《众安在线财产保险股份有限公司个人重大疾病保险条款（互联网2022版A款）》</w:t>
      </w:r>
      <w:bookmarkStart w:id="6" w:name="OLE_LINK4"/>
      <w:r>
        <w:rPr>
          <w:rFonts w:hint="eastAsia" w:ascii="微软雅黑" w:hAnsi="微软雅黑" w:eastAsia="微软雅黑" w:cs="微软雅黑"/>
          <w:b/>
          <w:color w:val="000000"/>
          <w:szCs w:val="21"/>
          <w:lang w:val="zh-CN"/>
        </w:rPr>
        <w:t>（注册号：</w:t>
      </w:r>
      <w:r>
        <w:rPr>
          <w:rFonts w:ascii="微软雅黑" w:hAnsi="微软雅黑" w:eastAsia="微软雅黑" w:cs="微软雅黑"/>
          <w:b/>
          <w:color w:val="000000"/>
          <w:szCs w:val="21"/>
          <w:lang w:val="zh-CN"/>
        </w:rPr>
        <w:t>C00017932612021111900413</w:t>
      </w:r>
      <w:r>
        <w:rPr>
          <w:rFonts w:hint="eastAsia" w:ascii="微软雅黑" w:hAnsi="微软雅黑" w:eastAsia="微软雅黑" w:cs="微软雅黑"/>
          <w:b/>
          <w:color w:val="000000"/>
          <w:szCs w:val="21"/>
          <w:lang w:val="zh-CN"/>
        </w:rPr>
        <w:t>）</w:t>
      </w:r>
      <w:bookmarkEnd w:id="6"/>
      <w:r>
        <w:rPr>
          <w:rFonts w:hint="eastAsia" w:ascii="微软雅黑" w:hAnsi="微软雅黑" w:eastAsia="微软雅黑" w:cs="微软雅黑"/>
          <w:b/>
          <w:color w:val="000000"/>
          <w:szCs w:val="21"/>
          <w:lang w:val="zh-CN"/>
        </w:rPr>
        <w:t>、《众安在线财产保险股份有限公司</w:t>
      </w:r>
      <w:r>
        <w:rPr>
          <w:rFonts w:ascii="微软雅黑" w:hAnsi="微软雅黑" w:eastAsia="微软雅黑" w:cs="微软雅黑"/>
          <w:b/>
          <w:color w:val="000000"/>
          <w:szCs w:val="21"/>
        </w:rPr>
        <w:t>附加免赔额豁免保险（互联网2022版C款）</w:t>
      </w:r>
      <w:r>
        <w:rPr>
          <w:rFonts w:hint="eastAsia" w:ascii="微软雅黑" w:hAnsi="微软雅黑" w:eastAsia="微软雅黑" w:cs="微软雅黑"/>
          <w:b/>
          <w:color w:val="000000"/>
          <w:szCs w:val="21"/>
          <w:lang w:val="zh-CN"/>
        </w:rPr>
        <w:t>》（注册号：</w:t>
      </w:r>
      <w:r>
        <w:rPr>
          <w:rFonts w:ascii="微软雅黑" w:hAnsi="微软雅黑" w:eastAsia="微软雅黑" w:cs="微软雅黑"/>
          <w:b/>
          <w:color w:val="000000"/>
          <w:szCs w:val="21"/>
        </w:rPr>
        <w:t>C00017932522022111638511</w:t>
      </w:r>
      <w:r>
        <w:rPr>
          <w:rFonts w:hint="eastAsia" w:ascii="微软雅黑" w:hAnsi="微软雅黑" w:eastAsia="微软雅黑" w:cs="微软雅黑"/>
          <w:b/>
          <w:color w:val="000000"/>
          <w:szCs w:val="21"/>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0235FF61">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请您关注”</w:t>
      </w:r>
      <w:r>
        <w:rPr>
          <w:rFonts w:hint="eastAsia" w:ascii="微软雅黑" w:hAnsi="微软雅黑" w:eastAsia="微软雅黑"/>
          <w:b/>
          <w:bCs/>
          <w:szCs w:val="21"/>
        </w:rPr>
        <w:t>保险条款</w:t>
      </w:r>
      <w:r>
        <w:rPr>
          <w:rFonts w:hint="eastAsia" w:ascii="微软雅黑" w:hAnsi="微软雅黑" w:eastAsia="微软雅黑"/>
          <w:szCs w:val="21"/>
        </w:rPr>
        <w:t>“约定的保险责任范围，尤其是就医的医院范围、医疗费的赔付范围和药品及药品的购买限制等影响您保障权益的内容。此外，请详细阅读”</w:t>
      </w:r>
      <w:r>
        <w:rPr>
          <w:rFonts w:hint="eastAsia" w:ascii="微软雅黑" w:hAnsi="微软雅黑" w:eastAsia="微软雅黑"/>
          <w:b/>
          <w:bCs/>
          <w:szCs w:val="21"/>
        </w:rPr>
        <w:t>责任免除条款说明书</w:t>
      </w:r>
      <w:r>
        <w:rPr>
          <w:rFonts w:hint="eastAsia" w:ascii="微软雅黑" w:hAnsi="微软雅黑" w:eastAsia="微软雅黑"/>
          <w:szCs w:val="21"/>
        </w:rPr>
        <w:t>“，如有任何不明指出请咨询我们的客服人员。</w:t>
      </w:r>
    </w:p>
    <w:p w14:paraId="6C92CCFB">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保险费与投保年龄：</w:t>
      </w:r>
      <w:r>
        <w:rPr>
          <w:rFonts w:hint="eastAsia" w:ascii="微软雅黑" w:hAnsi="微软雅黑" w:eastAsia="微软雅黑"/>
          <w:szCs w:val="21"/>
        </w:rPr>
        <w:t>您每次投保应交纳的保费会随着您的年龄增长而变化。</w:t>
      </w:r>
    </w:p>
    <w:p w14:paraId="56CEA17C">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本产品保险期间：1年。</w:t>
      </w:r>
    </w:p>
    <w:p w14:paraId="5015FCF8">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等待期：本产品的等待期为3</w:t>
      </w:r>
      <w:r>
        <w:rPr>
          <w:rFonts w:ascii="微软雅黑" w:hAnsi="微软雅黑" w:eastAsia="微软雅黑"/>
          <w:szCs w:val="21"/>
        </w:rPr>
        <w:t>0</w:t>
      </w:r>
      <w:r>
        <w:rPr>
          <w:rFonts w:hint="eastAsia" w:ascii="微软雅黑" w:hAnsi="微软雅黑" w:eastAsia="微软雅黑"/>
          <w:szCs w:val="21"/>
        </w:rPr>
        <w:t>天。</w:t>
      </w:r>
    </w:p>
    <w:p w14:paraId="769697A6">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0A44A82E">
      <w:pPr>
        <w:pStyle w:val="13"/>
        <w:numPr>
          <w:ilvl w:val="0"/>
          <w:numId w:val="58"/>
        </w:numPr>
        <w:adjustRightInd w:val="0"/>
        <w:snapToGrid w:val="0"/>
        <w:ind w:firstLineChars="0"/>
        <w:rPr>
          <w:rFonts w:hint="eastAsia" w:ascii="微软雅黑" w:hAnsi="微软雅黑" w:eastAsia="微软雅黑" w:cs="微软雅黑"/>
          <w:color w:val="000000"/>
          <w:szCs w:val="21"/>
        </w:rPr>
      </w:pPr>
      <w:bookmarkStart w:id="7" w:name="_Hlk88125665"/>
      <w:r>
        <w:rPr>
          <w:rFonts w:hint="eastAsia" w:ascii="微软雅黑" w:hAnsi="微软雅黑" w:eastAsia="微软雅黑" w:cs="微软雅黑"/>
          <w:color w:val="000000"/>
          <w:szCs w:val="21"/>
        </w:rPr>
        <w:t>本产品包含</w:t>
      </w:r>
      <w:bookmarkStart w:id="8" w:name="_Hlk206429306"/>
      <w:r>
        <w:rPr>
          <w:rFonts w:hint="eastAsia" w:ascii="微软雅黑" w:hAnsi="微软雅黑" w:eastAsia="微软雅黑" w:cs="微软雅黑"/>
          <w:color w:val="000000"/>
          <w:szCs w:val="21"/>
        </w:rPr>
        <w:t>三甲医生在线问诊服务、健康档案建立服务、境内（含港澳台）紧急救援服务、全球紧急救援服务、住院陪诊服务、特定疾病专案管家服务、特定疾病绿通服务、预留高端病房服务 、同城专车接送服务、特定疾病多学科会诊MDT服务、特定疾病全球第二诊疗意见、恶性肿瘤及罕见病院外特定药品直付服务、恶性肿瘤及罕见病特定药品基因检测服务、临床急需进口药品和特定医疗器械服务、先进疗法就医协助服务、院内陪护服务、康复护理指导、术后营养管理服务、术后上门护理服务、术后心理疏导服务、线上康复服务、院后随访服务、住院垫付服务服务、直付医疗服务服务、门诊陪诊服务</w:t>
      </w:r>
      <w:bookmarkEnd w:id="8"/>
      <w:r>
        <w:rPr>
          <w:rFonts w:hint="eastAsia" w:ascii="微软雅黑" w:hAnsi="微软雅黑" w:eastAsia="微软雅黑" w:cs="微软雅黑"/>
          <w:color w:val="000000"/>
          <w:szCs w:val="21"/>
        </w:rPr>
        <w:t>。如您投保必选计划二，将额外含赴港就医直通车服务及海外就诊服务。以上服务均限被保险人本人且应在等待期3</w:t>
      </w:r>
      <w:r>
        <w:rPr>
          <w:rFonts w:ascii="微软雅黑" w:hAnsi="微软雅黑" w:eastAsia="微软雅黑" w:cs="微软雅黑"/>
          <w:color w:val="000000"/>
          <w:szCs w:val="21"/>
        </w:rPr>
        <w:t>0</w:t>
      </w:r>
      <w:r>
        <w:rPr>
          <w:rFonts w:hint="eastAsia" w:ascii="微软雅黑" w:hAnsi="微软雅黑" w:eastAsia="微软雅黑" w:cs="微软雅黑"/>
          <w:color w:val="000000"/>
          <w:szCs w:val="21"/>
        </w:rPr>
        <w:t>天后的保险期限内使用</w:t>
      </w:r>
      <w:r>
        <w:rPr>
          <w:rFonts w:ascii="微软雅黑" w:hAnsi="微软雅黑" w:eastAsia="微软雅黑" w:cs="微软雅黑"/>
          <w:color w:val="000000"/>
          <w:szCs w:val="21"/>
        </w:rPr>
        <w:t>。</w:t>
      </w:r>
      <w:bookmarkEnd w:id="7"/>
      <w:r>
        <w:rPr>
          <w:rFonts w:hint="eastAsia" w:ascii="微软雅黑" w:hAnsi="微软雅黑" w:eastAsia="微软雅黑" w:cs="微软雅黑"/>
          <w:color w:val="000000"/>
          <w:szCs w:val="21"/>
        </w:rPr>
        <w:t>您可以通过：</w:t>
      </w:r>
    </w:p>
    <w:p w14:paraId="06F49D58">
      <w:pPr>
        <w:pStyle w:val="12"/>
        <w:numPr>
          <w:ilvl w:val="0"/>
          <w:numId w:val="59"/>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通过“众安健康微信公众号”或者“众安健康微信小程序”—“我的”—“我的保单”—“保单服务”中，选择"Prosper 柏盛健康”，并选择相应服务进行申请；</w:t>
      </w:r>
    </w:p>
    <w:p w14:paraId="7144E805">
      <w:pPr>
        <w:pStyle w:val="12"/>
        <w:numPr>
          <w:ilvl w:val="0"/>
          <w:numId w:val="59"/>
        </w:numPr>
        <w:adjustRightInd w:val="0"/>
        <w:snapToGrid w:val="0"/>
        <w:ind w:firstLineChars="0"/>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拨打尊享e生·中高端医疗保险PLUS专属服务热线</w:t>
      </w:r>
      <w:bookmarkStart w:id="9" w:name="OLE_LINK3"/>
      <w:r>
        <w:rPr>
          <w:rFonts w:hint="eastAsia" w:ascii="微软雅黑" w:hAnsi="微软雅黑" w:eastAsia="微软雅黑" w:cs="微软雅黑"/>
          <w:color w:val="000000"/>
          <w:szCs w:val="21"/>
        </w:rPr>
        <w:t xml:space="preserve"> 021-38139960</w:t>
      </w:r>
      <w:bookmarkEnd w:id="9"/>
      <w:r>
        <w:rPr>
          <w:rFonts w:hint="eastAsia" w:ascii="微软雅黑" w:hAnsi="微软雅黑" w:eastAsia="微软雅黑" w:cs="微软雅黑"/>
          <w:color w:val="000000"/>
          <w:szCs w:val="21"/>
        </w:rPr>
        <w:t>进行服务申请。</w:t>
      </w:r>
    </w:p>
    <w:p w14:paraId="7B860AB6">
      <w:pPr>
        <w:pStyle w:val="12"/>
        <w:adjustRightInd w:val="0"/>
        <w:snapToGrid w:val="0"/>
        <w:ind w:left="420" w:firstLine="0" w:firstLineChars="0"/>
        <w:rPr>
          <w:rFonts w:hint="eastAsia" w:ascii="微软雅黑" w:hAnsi="微软雅黑" w:eastAsia="微软雅黑" w:cs="微软雅黑"/>
          <w:b/>
          <w:bCs/>
          <w:color w:val="000000"/>
          <w:szCs w:val="21"/>
          <w:u w:val="single"/>
        </w:rPr>
      </w:pPr>
      <w:r>
        <w:rPr>
          <w:rFonts w:hint="eastAsia" w:ascii="微软雅黑" w:hAnsi="微软雅黑" w:eastAsia="微软雅黑" w:cs="微软雅黑"/>
          <w:b/>
          <w:bCs/>
          <w:color w:val="000000"/>
          <w:szCs w:val="21"/>
          <w:u w:val="single"/>
        </w:rPr>
        <w:t>以上服务详见《尊享e生·中高端医疗保险PLUS （2025版） 服务手册》，您可以通过本产品销售页面获取服务手册。</w:t>
      </w:r>
    </w:p>
    <w:p w14:paraId="2BFF8270">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保单包含尊享健康管理服务PLUS，限被保险人本人且在的保险期限内使用。尊享健康管理服务PLUS包括4项可选服务，被保险人可以从4项服务中任意选择其中的1项。被保险人选定1项服务后，其他4项服务视为自动放弃并失效。被保险人选定服务后，一个保单年度内不得变更。4项尊享客户服务包括体检服务、儿童健康服务、康复理疗服务和药无忧自选服务包。被保险人可众安健康微信公众号中“我的保单”的保单服务中选择使用本服务。尊享健康管理服务PLUS限被保险人本人在保单生效15日后的保险期限内使用，服务电话：10109955或952299。</w:t>
      </w:r>
    </w:p>
    <w:p w14:paraId="7F8C33D8">
      <w:pPr>
        <w:pStyle w:val="12"/>
        <w:adjustRightInd w:val="0"/>
        <w:snapToGrid w:val="0"/>
        <w:ind w:left="420" w:firstLine="0" w:firstLineChars="0"/>
        <w:rPr>
          <w:rFonts w:hint="eastAsia" w:ascii="微软雅黑" w:hAnsi="微软雅黑" w:eastAsia="微软雅黑" w:cs="微软雅黑"/>
          <w:b/>
          <w:bCs/>
          <w:color w:val="000000"/>
          <w:szCs w:val="21"/>
          <w:u w:val="single"/>
        </w:rPr>
      </w:pPr>
      <w:r>
        <w:rPr>
          <w:rFonts w:hint="eastAsia" w:ascii="微软雅黑" w:hAnsi="微软雅黑" w:eastAsia="微软雅黑" w:cs="微软雅黑"/>
          <w:b/>
          <w:bCs/>
          <w:color w:val="000000"/>
          <w:szCs w:val="21"/>
          <w:u w:val="single"/>
        </w:rPr>
        <w:t>以上服务详见《尊享e生·中高端医疗保险PLUS（2025版）尊享健康管理服务手册》，您可以通过本产品销售页面获取服务手册。</w:t>
      </w:r>
    </w:p>
    <w:p w14:paraId="7CB581C6">
      <w:pPr>
        <w:pStyle w:val="13"/>
        <w:numPr>
          <w:ilvl w:val="0"/>
          <w:numId w:val="58"/>
        </w:numPr>
        <w:adjustRightInd w:val="0"/>
        <w:snapToGrid w:val="0"/>
        <w:ind w:firstLineChars="0"/>
        <w:jc w:val="left"/>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若您购买门急诊医疗加油包将额外包含门诊陪诊服务和药费直赔服务，均限被保险人本人且应在等待期后的保险期限内使用，服务内容详见《尊享e生·中高端医疗保险PLUS （2025版） 服务手册》，服务电话：</w:t>
      </w:r>
      <w:r>
        <w:rPr>
          <w:rFonts w:ascii="微软雅黑" w:hAnsi="微软雅黑" w:eastAsia="微软雅黑" w:cs="微软雅黑"/>
          <w:color w:val="000000"/>
          <w:szCs w:val="21"/>
        </w:rPr>
        <w:t>952299或1010-9955。</w:t>
      </w:r>
      <w:r>
        <w:rPr>
          <w:rFonts w:hint="eastAsia" w:ascii="微软雅黑" w:hAnsi="微软雅黑" w:eastAsia="微软雅黑" w:cs="微软雅黑"/>
          <w:color w:val="000000"/>
          <w:szCs w:val="21"/>
        </w:rPr>
        <w:t>其中互联网医院线上问诊购药服务使用流程：</w:t>
      </w:r>
    </w:p>
    <w:p w14:paraId="5A408B61">
      <w:pPr>
        <w:pStyle w:val="13"/>
        <w:adjustRightInd w:val="0"/>
        <w:snapToGrid w:val="0"/>
        <w:ind w:left="420" w:firstLine="0" w:firstLineChars="0"/>
        <w:jc w:val="left"/>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方法一：进入【众安互联网医院】微信小程序，首页点击“图文问诊”；</w:t>
      </w:r>
    </w:p>
    <w:p w14:paraId="20C9FA18">
      <w:pPr>
        <w:pStyle w:val="13"/>
        <w:adjustRightInd w:val="0"/>
        <w:snapToGrid w:val="0"/>
        <w:ind w:left="420" w:firstLine="0" w:firstLineChars="0"/>
        <w:jc w:val="left"/>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方法二：关注【众安互联网医院】微信公众号，点击“免费问医生”进入互联网医院；</w:t>
      </w:r>
    </w:p>
    <w:p w14:paraId="6055F4E8">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每一被保险人同一保险期间内限投保</w:t>
      </w:r>
      <w:r>
        <w:rPr>
          <w:rFonts w:ascii="微软雅黑" w:hAnsi="微软雅黑" w:eastAsia="微软雅黑"/>
          <w:szCs w:val="21"/>
        </w:rPr>
        <w:t>1份，多投保无效。</w:t>
      </w:r>
    </w:p>
    <w:p w14:paraId="5CA14DCF">
      <w:pPr>
        <w:pStyle w:val="12"/>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本产品保单最早生效日期为投保成功的次日零时。</w:t>
      </w:r>
    </w:p>
    <w:p w14:paraId="3332DCC3">
      <w:pPr>
        <w:pStyle w:val="13"/>
        <w:numPr>
          <w:ilvl w:val="0"/>
          <w:numId w:val="5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本产品通过互联网在中华人民共和国境内（港、澳、台地区除外）区域销售。</w:t>
      </w:r>
    </w:p>
    <w:p w14:paraId="3CEB4C63">
      <w:pPr>
        <w:adjustRightInd w:val="0"/>
        <w:snapToGrid w:val="0"/>
        <w:rPr>
          <w:rFonts w:hint="eastAsia" w:ascii="微软雅黑" w:hAnsi="微软雅黑" w:eastAsia="微软雅黑"/>
          <w:szCs w:val="21"/>
        </w:rPr>
      </w:pPr>
    </w:p>
    <w:p w14:paraId="17099DD7">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保单服务</w:t>
      </w:r>
    </w:p>
    <w:p w14:paraId="66F90091">
      <w:pPr>
        <w:pStyle w:val="12"/>
        <w:numPr>
          <w:ilvl w:val="0"/>
          <w:numId w:val="6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投保：</w:t>
      </w:r>
      <w:r>
        <w:rPr>
          <w:rFonts w:ascii="微软雅黑" w:hAnsi="微软雅黑" w:eastAsia="微软雅黑"/>
          <w:szCs w:val="21"/>
        </w:rPr>
        <w:t>您填写个人投保信息并勾选需要的保险计划，若核保通过，您可通过支付宝、银行卡等支付方式交纳保费至众安保险指定账户（如为赠险无须交费），保险合同成立；若核保不通过，则投保人无需支付保险费，保险合同不成立。</w:t>
      </w:r>
      <w:r>
        <w:rPr>
          <w:rFonts w:hint="eastAsia" w:ascii="微软雅黑" w:hAnsi="微软雅黑" w:eastAsia="微软雅黑"/>
          <w:szCs w:val="21"/>
        </w:rPr>
        <w:t xml:space="preserve"> </w:t>
      </w:r>
    </w:p>
    <w:p w14:paraId="7997B51B">
      <w:pPr>
        <w:pStyle w:val="12"/>
        <w:numPr>
          <w:ilvl w:val="0"/>
          <w:numId w:val="6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保单查询：本合同采用电子保单形式承保并提供电子发票，您可以通过下列方式查询保单。登录众安官网</w:t>
      </w:r>
      <w:r>
        <w:fldChar w:fldCharType="begin"/>
      </w:r>
      <w:r>
        <w:instrText xml:space="preserve"> HYPERLINK "http://www.zhongan.com/" </w:instrText>
      </w:r>
      <w:r>
        <w:fldChar w:fldCharType="separate"/>
      </w:r>
      <w:r>
        <w:rPr>
          <w:rFonts w:hint="eastAsia" w:ascii="微软雅黑" w:hAnsi="微软雅黑" w:eastAsia="微软雅黑"/>
          <w:szCs w:val="21"/>
        </w:rPr>
        <w:t>www.zhongan.com</w:t>
      </w:r>
      <w:r>
        <w:rPr>
          <w:rFonts w:hint="eastAsia" w:ascii="微软雅黑" w:hAnsi="微软雅黑" w:eastAsia="微软雅黑"/>
          <w:szCs w:val="21"/>
        </w:rPr>
        <w:fldChar w:fldCharType="end"/>
      </w:r>
      <w:r>
        <w:rPr>
          <w:rFonts w:hint="eastAsia" w:ascii="微软雅黑" w:hAnsi="微软雅黑" w:eastAsia="微软雅黑"/>
          <w:szCs w:val="21"/>
        </w:rPr>
        <w:t>、众安保险APP查看或拨打客服电话952299或1010-9955进行查询。根据《中华人民共和国民法典》第四百六十九条规定，数据电文是合法的合同表现形式。您投保本保险时视为接受以众安保险提供的电子保单作为本投保书成立的合法有效凭证，具有完全证据效力。</w:t>
      </w:r>
    </w:p>
    <w:p w14:paraId="4C0BC55E">
      <w:pPr>
        <w:pStyle w:val="12"/>
        <w:numPr>
          <w:ilvl w:val="0"/>
          <w:numId w:val="6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理赔：下载“众安保险”APP，在线申请理赔，审核通过，理赔金转账至被保险人/受益人的账户。对于保险人承担的互联网医院药品费用，您同意并授权，在药品已被确认收货后，保险公司将启动自动理赔流程，理赔款由保险公司直接支付给指定的互联网药房，理赔完成。</w:t>
      </w:r>
    </w:p>
    <w:p w14:paraId="7A9F8B06">
      <w:pPr>
        <w:pStyle w:val="12"/>
        <w:numPr>
          <w:ilvl w:val="0"/>
          <w:numId w:val="6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服务电话：如需变更保单信息、咨询保险产品相关事宜、理赔信息，请联系众安保险客户服务热线：952299或1010-9955。</w:t>
      </w:r>
    </w:p>
    <w:p w14:paraId="55A56A40">
      <w:pPr>
        <w:pStyle w:val="12"/>
        <w:numPr>
          <w:ilvl w:val="0"/>
          <w:numId w:val="6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众安保险投诉热线：021-80399188。</w:t>
      </w:r>
    </w:p>
    <w:p w14:paraId="45EA09DE">
      <w:pPr>
        <w:adjustRightInd w:val="0"/>
        <w:snapToGrid w:val="0"/>
        <w:rPr>
          <w:rFonts w:hint="eastAsia" w:ascii="微软雅黑" w:hAnsi="微软雅黑" w:eastAsia="微软雅黑"/>
          <w:szCs w:val="21"/>
        </w:rPr>
      </w:pPr>
    </w:p>
    <w:p w14:paraId="3E8963B6">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承保公司说明</w:t>
      </w:r>
    </w:p>
    <w:p w14:paraId="37C323B2">
      <w:pPr>
        <w:pStyle w:val="12"/>
        <w:numPr>
          <w:ilvl w:val="0"/>
          <w:numId w:val="6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保险产品由众安在线财产保险股份有限公司承保（即本投保须知所称“众安保险”），众安保险总部设立于上海，通过互联网在中华人民共和国境内（港、澳、台地区除外）开展与互联网交易直接相关的保险业务，主要服务会通过电话、互联网上的服务、第三方服务机构等方式为您提供全面便捷的保险服务。众安保险不设分支机构，在您所在的地区，可能无法直接提供及时的面对面线下服务。</w:t>
      </w:r>
    </w:p>
    <w:p w14:paraId="543D30B0">
      <w:pPr>
        <w:adjustRightInd w:val="0"/>
        <w:snapToGrid w:val="0"/>
        <w:rPr>
          <w:rFonts w:hint="eastAsia" w:ascii="微软雅黑" w:hAnsi="微软雅黑" w:eastAsia="微软雅黑"/>
          <w:szCs w:val="21"/>
        </w:rPr>
      </w:pPr>
    </w:p>
    <w:p w14:paraId="4A81C5A6">
      <w:pPr>
        <w:pStyle w:val="12"/>
        <w:numPr>
          <w:ilvl w:val="0"/>
          <w:numId w:val="1"/>
        </w:numPr>
        <w:adjustRightInd w:val="0"/>
        <w:snapToGrid w:val="0"/>
        <w:ind w:left="0" w:firstLine="0" w:firstLineChars="0"/>
        <w:outlineLvl w:val="0"/>
        <w:rPr>
          <w:rFonts w:hint="eastAsia" w:ascii="微软雅黑" w:hAnsi="微软雅黑" w:eastAsia="微软雅黑"/>
          <w:szCs w:val="21"/>
        </w:rPr>
      </w:pPr>
      <w:r>
        <w:rPr>
          <w:rFonts w:hint="eastAsia" w:ascii="微软雅黑" w:hAnsi="微软雅黑" w:eastAsia="微软雅黑"/>
          <w:szCs w:val="21"/>
        </w:rPr>
        <w:t>偿付能力</w:t>
      </w:r>
    </w:p>
    <w:p w14:paraId="6F8858DA">
      <w:pPr>
        <w:pStyle w:val="12"/>
        <w:numPr>
          <w:ilvl w:val="0"/>
          <w:numId w:val="62"/>
        </w:numPr>
        <w:adjustRightInd w:val="0"/>
        <w:snapToGrid w:val="0"/>
        <w:ind w:hangingChars="200"/>
        <w:rPr>
          <w:rFonts w:hint="eastAsia" w:ascii="微软雅黑" w:hAnsi="微软雅黑" w:eastAsia="微软雅黑"/>
          <w:szCs w:val="21"/>
        </w:rPr>
      </w:pPr>
      <w:r>
        <w:rPr>
          <w:rFonts w:hint="eastAsia" w:ascii="微软雅黑" w:hAnsi="微软雅黑" w:eastAsia="微软雅黑"/>
          <w:szCs w:val="21"/>
        </w:rPr>
        <w:t>众安保险最近季度偿付能力充足率符合监管要求，详情请参见公司官网偿付能力披露信息：</w:t>
      </w:r>
      <w:r>
        <w:rPr>
          <w:rFonts w:ascii="微软雅黑" w:hAnsi="微软雅黑" w:eastAsia="微软雅黑"/>
          <w:szCs w:val="21"/>
        </w:rPr>
        <w:t xml:space="preserve"> </w:t>
      </w:r>
      <w:r>
        <w:fldChar w:fldCharType="begin"/>
      </w:r>
      <w:r>
        <w:instrText xml:space="preserve"> HYPERLINK "https://www.zhongan.com/channel/public/publicInfo_cfnl2018.html" </w:instrText>
      </w:r>
      <w:r>
        <w:fldChar w:fldCharType="separate"/>
      </w:r>
      <w:r>
        <w:rPr>
          <w:rStyle w:val="10"/>
          <w:rFonts w:ascii="微软雅黑" w:hAnsi="微软雅黑" w:eastAsia="微软雅黑"/>
          <w:szCs w:val="21"/>
        </w:rPr>
        <w:t>https://www.zhongan.com/channel/public/publicInfo_cfnl2018.html</w:t>
      </w:r>
      <w:r>
        <w:rPr>
          <w:rStyle w:val="10"/>
          <w:rFonts w:ascii="微软雅黑" w:hAnsi="微软雅黑" w:eastAsia="微软雅黑"/>
          <w:szCs w:val="21"/>
        </w:rPr>
        <w:fldChar w:fldCharType="end"/>
      </w:r>
    </w:p>
    <w:p w14:paraId="5CC5A472">
      <w:pPr>
        <w:adjustRightInd w:val="0"/>
        <w:snapToGrid w:val="0"/>
        <w:rPr>
          <w:rFonts w:hint="eastAsia" w:ascii="微软雅黑" w:hAnsi="微软雅黑" w:eastAsia="微软雅黑"/>
          <w:szCs w:val="21"/>
        </w:rPr>
      </w:pPr>
    </w:p>
    <w:p w14:paraId="25428FFE">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信息安全及相关授权等。</w:t>
      </w:r>
    </w:p>
    <w:p w14:paraId="149F28C8">
      <w:pPr>
        <w:pStyle w:val="12"/>
        <w:numPr>
          <w:ilvl w:val="0"/>
          <w:numId w:val="6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众安保险严格遵守现行的关于个人信息、数据及隐私保护的法律法规，采取充分的技术手段和制度管理，保护您提供给众安保险的个人信息、数据和隐私不受到非法的泄露或披露给未获授权的第三方。在必要情形下第三方可能接触并使用您的个人信息，包括得到授权的众安保险员工、以及不时执行与众安保险的业务、营销活动和数据整理有关工作的其他公司或人员。所有此类人员及公司均需遵守相关保密协议，同时也需遵守国家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1F35E953">
      <w:pPr>
        <w:pStyle w:val="12"/>
        <w:numPr>
          <w:ilvl w:val="0"/>
          <w:numId w:val="63"/>
        </w:numPr>
        <w:adjustRightInd w:val="0"/>
        <w:snapToGrid w:val="0"/>
        <w:ind w:firstLineChars="0"/>
        <w:rPr>
          <w:rFonts w:hint="eastAsia" w:ascii="微软雅黑" w:hAnsi="微软雅黑" w:eastAsia="微软雅黑"/>
          <w:szCs w:val="21"/>
        </w:rPr>
      </w:pPr>
      <w:r>
        <w:rPr>
          <w:rFonts w:ascii="微软雅黑" w:hAnsi="微软雅黑" w:eastAsia="微软雅黑"/>
          <w:szCs w:val="21"/>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hint="eastAsia" w:ascii="微软雅黑" w:hAnsi="微软雅黑" w:eastAsia="微软雅黑"/>
          <w:szCs w:val="21"/>
        </w:rPr>
        <w:t>。</w:t>
      </w:r>
      <w:r>
        <w:rPr>
          <w:rFonts w:hint="eastAsia" w:ascii="微软雅黑" w:hAnsi="微软雅黑" w:eastAsia="微软雅黑"/>
          <w:b/>
          <w:szCs w:val="21"/>
        </w:rPr>
        <w:t>基于提供保险服务、提高服务质量的需要，您授权：众安保险及众安保险的合作机构在承保前或承保后以多种方式核实投保信息的真实性、调查获取被保险人与保险有关的相关信息</w:t>
      </w:r>
      <w:r>
        <w:rPr>
          <w:rFonts w:ascii="微软雅黑" w:hAnsi="微软雅黑" w:eastAsia="微软雅黑"/>
          <w:b/>
          <w:szCs w:val="21"/>
        </w:rPr>
        <w:t>(包括但不限于健康情况、诊疗情况、既往病史等)，</w:t>
      </w:r>
      <w:r>
        <w:rPr>
          <w:rFonts w:hint="eastAsia" w:ascii="微软雅黑" w:hAnsi="微软雅黑" w:eastAsia="微软雅黑"/>
          <w:b/>
          <w:szCs w:val="21"/>
        </w:rPr>
        <w:t>同意查询被保险人已在电子票夹归集保管的、或通过电子票夹使用被保险人的姓名、身份证号等个人信息向医院查询被保险人就诊的电子票据。如众安保险经前述核查发现您不符合本产品的投保条件或存在未如实告知情况的，众安保险将有权拒绝承保或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7244D656">
      <w:pPr>
        <w:adjustRightInd w:val="0"/>
        <w:snapToGrid w:val="0"/>
        <w:rPr>
          <w:rFonts w:hint="eastAsia" w:ascii="微软雅黑" w:hAnsi="微软雅黑" w:eastAsia="微软雅黑"/>
          <w:szCs w:val="21"/>
        </w:rPr>
      </w:pPr>
    </w:p>
    <w:p w14:paraId="55DFA27E">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个人信息保护政策</w:t>
      </w:r>
    </w:p>
    <w:p w14:paraId="7F69A259">
      <w:pPr>
        <w:adjustRightInd w:val="0"/>
        <w:snapToGrid w:val="0"/>
        <w:rPr>
          <w:rFonts w:hint="eastAsia" w:ascii="微软雅黑" w:hAnsi="微软雅黑" w:eastAsia="微软雅黑"/>
          <w:szCs w:val="21"/>
        </w:rPr>
      </w:pPr>
      <w:r>
        <w:rPr>
          <w:rFonts w:hint="eastAsia" w:ascii="微软雅黑" w:hAnsi="微软雅黑" w:eastAsia="微软雅黑"/>
          <w:szCs w:val="21"/>
        </w:rPr>
        <w:object>
          <v:shape id="_x0000_i1026" o:spt="75" type="#_x0000_t75" style="height:53.5pt;width:74pt;" o:ole="t" filled="f" o:preferrelative="t" stroked="f" coordsize="21600,21600">
            <v:path/>
            <v:fill on="f" focussize="0,0"/>
            <v:stroke on="f" joinstyle="miter"/>
            <v:imagedata r:id="rId7" o:title=""/>
            <o:lock v:ext="edit" aspectratio="t"/>
            <w10:wrap type="none"/>
            <w10:anchorlock/>
          </v:shape>
          <o:OLEObject Type="Embed" ProgID="Acrobat.Document.DC" ShapeID="_x0000_i1026" DrawAspect="Icon" ObjectID="_1468075726" r:id="rId6">
            <o:LockedField>false</o:LockedField>
          </o:OLEObject>
        </w:object>
      </w:r>
    </w:p>
    <w:p w14:paraId="128623BA">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代扣服务授权及协议</w:t>
      </w:r>
    </w:p>
    <w:p w14:paraId="3F153F8E">
      <w:pPr>
        <w:adjustRightInd w:val="0"/>
        <w:snapToGrid w:val="0"/>
      </w:pPr>
      <w:r>
        <w:object>
          <v:shape id="_x0000_i1027" o:spt="75" type="#_x0000_t75" style="height:53.5pt;width:74pt;" o:ole="t" filled="f" o:preferrelative="t" stroked="f" coordsize="21600,21600">
            <v:path/>
            <v:fill on="f" focussize="0,0"/>
            <v:stroke on="f" joinstyle="miter"/>
            <v:imagedata r:id="rId9" o:title=""/>
            <o:lock v:ext="edit" aspectratio="t"/>
            <w10:wrap type="none"/>
            <w10:anchorlock/>
          </v:shape>
          <o:OLEObject Type="Embed" ProgID="Acrobat.Document.DC" ShapeID="_x0000_i1027" DrawAspect="Icon" ObjectID="_1468075727" r:id="rId8">
            <o:LockedField>false</o:LockedField>
          </o:OLEObject>
        </w:object>
      </w:r>
    </w:p>
    <w:p w14:paraId="0271E3E6">
      <w:pPr>
        <w:adjustRightInd w:val="0"/>
        <w:snapToGrid w:val="0"/>
      </w:pPr>
    </w:p>
    <w:p w14:paraId="2D341223">
      <w:pPr>
        <w:adjustRightInd w:val="0"/>
        <w:snapToGrid w:val="0"/>
      </w:pPr>
    </w:p>
    <w:p w14:paraId="419123C4">
      <w:pPr>
        <w:pStyle w:val="12"/>
        <w:numPr>
          <w:ilvl w:val="0"/>
          <w:numId w:val="1"/>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众安保险特殊职业类别表</w:t>
      </w:r>
    </w:p>
    <w:p w14:paraId="7815DDAE">
      <w:pPr>
        <w:pStyle w:val="12"/>
        <w:adjustRightInd w:val="0"/>
        <w:snapToGrid w:val="0"/>
        <w:ind w:firstLine="0" w:firstLineChars="0"/>
        <w:outlineLvl w:val="0"/>
        <w:rPr>
          <w:rFonts w:hint="eastAsia" w:ascii="微软雅黑" w:hAnsi="微软雅黑" w:eastAsia="微软雅黑"/>
          <w:szCs w:val="21"/>
        </w:rPr>
      </w:pPr>
    </w:p>
    <w:tbl>
      <w:tblPr>
        <w:tblStyle w:val="7"/>
        <w:tblW w:w="10065" w:type="dxa"/>
        <w:tblInd w:w="-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8647"/>
      </w:tblGrid>
      <w:tr w14:paraId="072EA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shd w:val="clear" w:color="000000" w:fill="FFFFFF"/>
            <w:vAlign w:val="center"/>
          </w:tcPr>
          <w:p w14:paraId="79E66759">
            <w:pPr>
              <w:widowControl/>
              <w:adjustRightInd w:val="0"/>
              <w:snapToGrid w:val="0"/>
              <w:jc w:val="center"/>
              <w:rPr>
                <w:rFonts w:hint="eastAsia" w:cs="宋体" w:asciiTheme="minorEastAsia" w:hAnsiTheme="minorEastAsia"/>
                <w:b/>
                <w:color w:val="000000"/>
                <w:kern w:val="0"/>
                <w:sz w:val="24"/>
              </w:rPr>
            </w:pPr>
            <w:r>
              <w:rPr>
                <w:rFonts w:hint="eastAsia" w:cs="宋体" w:asciiTheme="minorEastAsia" w:hAnsiTheme="minorEastAsia"/>
                <w:b/>
                <w:color w:val="000000"/>
                <w:kern w:val="0"/>
                <w:sz w:val="24"/>
              </w:rPr>
              <w:t>大类行业</w:t>
            </w:r>
          </w:p>
        </w:tc>
        <w:tc>
          <w:tcPr>
            <w:tcW w:w="8647" w:type="dxa"/>
            <w:shd w:val="clear" w:color="000000" w:fill="FFFFFF"/>
            <w:vAlign w:val="center"/>
          </w:tcPr>
          <w:p w14:paraId="1717CD60">
            <w:pPr>
              <w:widowControl/>
              <w:adjustRightInd w:val="0"/>
              <w:snapToGrid w:val="0"/>
              <w:jc w:val="center"/>
              <w:rPr>
                <w:rFonts w:hint="eastAsia" w:cs="宋体" w:asciiTheme="minorEastAsia" w:hAnsiTheme="minorEastAsia"/>
                <w:b/>
                <w:color w:val="000000"/>
                <w:kern w:val="0"/>
                <w:sz w:val="24"/>
              </w:rPr>
            </w:pPr>
            <w:r>
              <w:rPr>
                <w:rFonts w:hint="eastAsia" w:cs="宋体" w:asciiTheme="minorEastAsia" w:hAnsiTheme="minorEastAsia"/>
                <w:b/>
                <w:color w:val="000000"/>
                <w:kern w:val="0"/>
                <w:sz w:val="24"/>
              </w:rPr>
              <w:t>职业名称</w:t>
            </w:r>
          </w:p>
        </w:tc>
      </w:tr>
      <w:tr w14:paraId="71C8A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230CE10A">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农\副\牧\渔业</w:t>
            </w:r>
          </w:p>
        </w:tc>
        <w:tc>
          <w:tcPr>
            <w:tcW w:w="8647" w:type="dxa"/>
            <w:shd w:val="clear" w:color="000000" w:fill="FFFFFF"/>
            <w:vAlign w:val="center"/>
          </w:tcPr>
          <w:p w14:paraId="4021F53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特种养殖(蜂\蛇\鳄鱼)人员、山核桃采摘人员、养殖工人(沿海)、沿海作业渔民、远洋渔船船员、近海渔船船员</w:t>
            </w:r>
          </w:p>
        </w:tc>
      </w:tr>
      <w:tr w14:paraId="17E0A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3A56DF6D">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森林木材业</w:t>
            </w:r>
          </w:p>
        </w:tc>
        <w:tc>
          <w:tcPr>
            <w:tcW w:w="8647" w:type="dxa"/>
            <w:shd w:val="clear" w:color="000000" w:fill="FFFFFF"/>
            <w:vAlign w:val="center"/>
          </w:tcPr>
          <w:p w14:paraId="31C61A03">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伐木工人、锯木工人、运材人员、起重机之操作人、装运工人、磅秤员、锯木工人、木材搬运工人、木制家俱制造工人、金属家俱制造工人、森林防火人员</w:t>
            </w:r>
          </w:p>
        </w:tc>
      </w:tr>
      <w:tr w14:paraId="169C4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2193FE75">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地质矿产</w:t>
            </w:r>
          </w:p>
        </w:tc>
        <w:tc>
          <w:tcPr>
            <w:tcW w:w="8647" w:type="dxa"/>
            <w:shd w:val="clear" w:color="000000" w:fill="FFFFFF"/>
            <w:vAlign w:val="center"/>
          </w:tcPr>
          <w:p w14:paraId="459595B0">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地质探测员(山区，海上)、坑探工人、地震物探爆炸工人、海洋地质取样工人、海洋测绘人员(海上作业)、地面采矿工人、井下采矿工人、支护工人、矿物采掘爆破工人、矿井开掘工人、露天采矿挖掘机司机、钻孔机司机、井筒冻结工人、矿井机车运输工人、火药\雷管管理工、矿山井下抢险\救灾人员、湖盐采掘船工人、湖盐采掘爆破工人、所有作业人员、技术员、油气井清洁保养修护工、钻勘设备装修保养工、钻油井工人、钻井设备\井架安装工人、油气井测试工人、采油\气工人、井下作业工人、油气管道保护工人、采石业工人、采石业工人(从事凿眼、放炮、破料等)</w:t>
            </w:r>
          </w:p>
        </w:tc>
      </w:tr>
      <w:tr w14:paraId="2ACCA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4C9B332">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运输业</w:t>
            </w:r>
          </w:p>
        </w:tc>
        <w:tc>
          <w:tcPr>
            <w:tcW w:w="8647" w:type="dxa"/>
            <w:shd w:val="clear" w:color="000000" w:fill="FFFFFF"/>
            <w:vAlign w:val="center"/>
          </w:tcPr>
          <w:p w14:paraId="48EC42D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拖拉机驾驶人员、机动三轮车人员、营业用货车司机、营业用货车随车工人、砂石车司机，随车工人、工程卡车人员、液化气\油罐车司机,随车人员、营业用摩托车驾驶员、（沿海）客货轮水手长、（沿海）客货轮水手、（沿海）客货轮铜匠、（沿海）客货轮木匠、（沿海）客货轮泵匠、（沿海）客货轮电机师、（沿海）客货轮厨师、（沿海）客货轮服务生、（沿海）客货轮实习生、游览船工作人员、小汽艇工作人员、码头工人及领班、港口作业缉私人员、救难船员、潜水员、（沿海）船舶机工、视觉航标工(灯塔\航标维护保养)、港口维护工(码头维修\水面防污)、航道航务施工工人、（内河）客货轮船长、（内河）客货轮水手长、（内河）客货轮水手、（内河）客货轮铜匠、（内河）客货轮木匠、（内河）客货轮泵匠、（内河）客货轮电机师、（内河）客货轮厨师、（内河）客货轮服务生、（内河）客货轮实习生、（远洋）客货轮船长、（远洋）客货轮机长和高级船员、（远洋）客货轮大副、（远洋）客货轮二副、（远洋）客货轮三副、（远洋）客货轮大管轮、（远洋）客货轮二管轮、（远洋）客货轮三管轮、（远洋）客货轮报务员、（远洋）客货轮事务长、（远洋）客货轮医务人员及一般船员、（远洋）客货轮水手长、（远洋）客货轮水手、（远洋）客货轮铜匠、（远洋）客货轮木匠、（远洋）客货轮泵匠、（远洋）客货轮电机师、（远洋）客货轮厨师、（远洋）客货轮服务生、（远洋）船舶机工、（远洋）船舶轮机员、（远洋）客货轮实习生、直升机飞行员、航空摄影人员</w:t>
            </w:r>
          </w:p>
        </w:tc>
      </w:tr>
      <w:tr w14:paraId="7FEAF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8E25AC6">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工程施工</w:t>
            </w:r>
          </w:p>
        </w:tc>
        <w:tc>
          <w:tcPr>
            <w:tcW w:w="8647" w:type="dxa"/>
            <w:shd w:val="clear" w:color="000000" w:fill="FFFFFF"/>
            <w:vAlign w:val="center"/>
          </w:tcPr>
          <w:p w14:paraId="6EC1126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短工、鹰架架设工人、凿岩工人、爆破工人、砌筑工人、泥水匠、钢筋工人、室外装璜人员(高空)、木匠(室外及高空)、建筑油漆工(室外及高空)、建筑水电工(地下)、建筑焊工(室内)、建筑焊工(室外及高空)、铝\铁门窗装修工人、安装工人(室外及高空)、玻璃幕墙安装工人、山地铺设工人、电线架设及维护工人、高速公路工程人员、线桥专用机械操作工人、铁路舟桥工人、道岔制修工人、桥梁工程人员、隧道工程人员、电梯\升降机安装工人、电梯\升降机修理及维护工人、起重装卸机操作工人、起重工人、建筑工程车辆驾驶员、建筑工程车辆机械操作员、海湾港口工程人员、潜水工作人员、爆破工作人员、挖泥船工人</w:t>
            </w:r>
          </w:p>
        </w:tc>
      </w:tr>
      <w:tr w14:paraId="1F689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7370602E">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建筑材料</w:t>
            </w:r>
          </w:p>
        </w:tc>
        <w:tc>
          <w:tcPr>
            <w:tcW w:w="8647" w:type="dxa"/>
            <w:shd w:val="clear" w:color="000000" w:fill="FFFFFF"/>
            <w:vAlign w:val="center"/>
          </w:tcPr>
          <w:p w14:paraId="3926C537">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采掘工、水泥生产制造工人、水泥制品工人、石灰石焙烧工人、加气混凝土制造工人、装饰石材生产工人</w:t>
            </w:r>
          </w:p>
        </w:tc>
      </w:tr>
      <w:tr w14:paraId="0244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A58720A">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钢铁业</w:t>
            </w:r>
          </w:p>
        </w:tc>
        <w:tc>
          <w:tcPr>
            <w:tcW w:w="8647" w:type="dxa"/>
            <w:shd w:val="clear" w:color="000000" w:fill="FFFFFF"/>
            <w:vAlign w:val="center"/>
          </w:tcPr>
          <w:p w14:paraId="7E1B8EDE">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一般工人、高炉原料工人、高炉炉前工人、高炉运转工人、炼钢原料工人、平炉炼钢工人、转炉炼钢工人、电炉炼钢工人、炼钢浇铸工人、炼钢准备工人、整脱模工人、铁合金电炉治炼工人、火法冶炼工人、烟气制酸工人、金属轧制工人、酸洗工人、金属材料热处理工人、焊管工人、精整工人、金属材料丝拉拔工人、金属挤压工人、铸轧工人、钢丝绳制造工人、铸管工人、铸管精修工人、硬质合金成型工人、硬质合金烧结工人</w:t>
            </w:r>
          </w:p>
        </w:tc>
      </w:tr>
      <w:tr w14:paraId="17361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2821FCA2">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机械制造加工业</w:t>
            </w:r>
          </w:p>
        </w:tc>
        <w:tc>
          <w:tcPr>
            <w:tcW w:w="8647" w:type="dxa"/>
            <w:shd w:val="clear" w:color="000000" w:fill="FFFFFF"/>
            <w:vAlign w:val="center"/>
          </w:tcPr>
          <w:p w14:paraId="3AE5A6A0">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焊接工人、车床工人(全自动)、车床工人(其他)、铸造工人、锅炉工人、铁工厂工人、机械厂工人、铣床工人、剪床工人、冲床工人、拉床工人、锯床工人、钻床工人、刨工、磨工、镗工、制齿工人、组合机床操作工人、加工中心操作工人、螺丝纹挤形工人、刃具扭制工人、弹性元件制造工人、锻造工人、金属热处理工人、粉末冶金制造工人、电切削工人、行车司机及指挥人员</w:t>
            </w:r>
          </w:p>
        </w:tc>
      </w:tr>
      <w:tr w14:paraId="00918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10E1C80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机电产品制造与装配</w:t>
            </w:r>
          </w:p>
        </w:tc>
        <w:tc>
          <w:tcPr>
            <w:tcW w:w="8647" w:type="dxa"/>
            <w:shd w:val="clear" w:color="000000" w:fill="FFFFFF"/>
            <w:vAlign w:val="center"/>
          </w:tcPr>
          <w:p w14:paraId="40C27F1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有关高压电之工作人员、工具钳工、铁心叠装工人、铁路机车\车辆机械制修工人、铁路机车\车辆电气装修工人、铁路机车车辆制动修造工人、船体制造工人、拆船工人、船舶轮机装配工人、船舶附件制造工人、船舶修理工人、空调装修人员(高空)、工具五金制作工人、建筑五金制作工人、铝制品制作工人、航空环控救生装备试验工人(空中试验)、导弹部段装配工人、航天器引信装配工人、弹头装配工人、导弹总体装配工人</w:t>
            </w:r>
          </w:p>
        </w:tc>
      </w:tr>
      <w:tr w14:paraId="1A7EB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6AA3EBBA">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化学工业</w:t>
            </w:r>
          </w:p>
        </w:tc>
        <w:tc>
          <w:tcPr>
            <w:tcW w:w="8647" w:type="dxa"/>
            <w:shd w:val="clear" w:color="000000" w:fill="FFFFFF"/>
            <w:vAlign w:val="center"/>
          </w:tcPr>
          <w:p w14:paraId="2D97254D">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硫酸，盐酸，硝酸等制造工人、纯碱\烧碱等制造工人、氟化盐生产工人、缩聚磷酸盐生产工人、高频等离子工人、气体深冷分离工人\制氧工人、液化气体制造工、二硫化碳制造工人、防腐工人、油制气工人、炼焦工\焦炉机车司机、煤制气工人、煤气储运工人、硫酸铵生产工人、过磷酸钙生产工人、脂肪烃生产工人、合成橡胶生产工人、化纤聚合工人、油墨制造工人、火柴制造工人、石棉制品生产工人、金刚石制造工人、爆竹\烟花制造及处理工人、火\炸药制造工人</w:t>
            </w:r>
          </w:p>
        </w:tc>
      </w:tr>
      <w:tr w14:paraId="29CE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ADA2DBA">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造纸\纸产品</w:t>
            </w:r>
          </w:p>
        </w:tc>
        <w:tc>
          <w:tcPr>
            <w:tcW w:w="8647" w:type="dxa"/>
            <w:shd w:val="clear" w:color="000000" w:fill="FFFFFF"/>
            <w:vAlign w:val="center"/>
          </w:tcPr>
          <w:p w14:paraId="6F18E9CC">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制浆备料工人、制浆设备操作工人、制浆废液回收利用工人</w:t>
            </w:r>
          </w:p>
        </w:tc>
      </w:tr>
      <w:tr w14:paraId="3B4C9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635E5593">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玻璃\陶瓷\搪瓷制品制造业</w:t>
            </w:r>
          </w:p>
        </w:tc>
        <w:tc>
          <w:tcPr>
            <w:tcW w:w="8647" w:type="dxa"/>
            <w:shd w:val="clear" w:color="000000" w:fill="FFFFFF"/>
            <w:vAlign w:val="center"/>
          </w:tcPr>
          <w:p w14:paraId="3505D1C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玻璃加工工人、陶瓷烧成工人</w:t>
            </w:r>
          </w:p>
        </w:tc>
      </w:tr>
      <w:tr w14:paraId="4DFCF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4F374ED">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军工制造</w:t>
            </w:r>
          </w:p>
        </w:tc>
        <w:tc>
          <w:tcPr>
            <w:tcW w:w="8647" w:type="dxa"/>
            <w:shd w:val="clear" w:color="000000" w:fill="FFFFFF"/>
            <w:vAlign w:val="center"/>
          </w:tcPr>
          <w:p w14:paraId="0AD950CA">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枪\炮弹药装配工人、火工品\爆破器材制造人员、靶场试射工人</w:t>
            </w:r>
          </w:p>
        </w:tc>
      </w:tr>
      <w:tr w14:paraId="39071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7D2A6A08">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新闻\出版\文化\印刷业</w:t>
            </w:r>
          </w:p>
        </w:tc>
        <w:tc>
          <w:tcPr>
            <w:tcW w:w="8647" w:type="dxa"/>
            <w:shd w:val="clear" w:color="000000" w:fill="FFFFFF"/>
            <w:vAlign w:val="center"/>
          </w:tcPr>
          <w:p w14:paraId="5F32C045">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战地记者</w:t>
            </w:r>
          </w:p>
        </w:tc>
      </w:tr>
      <w:tr w14:paraId="6CB5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5F3A0D9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广告业</w:t>
            </w:r>
          </w:p>
        </w:tc>
        <w:tc>
          <w:tcPr>
            <w:tcW w:w="8647" w:type="dxa"/>
            <w:shd w:val="clear" w:color="000000" w:fill="FFFFFF"/>
            <w:vAlign w:val="center"/>
          </w:tcPr>
          <w:p w14:paraId="5127535C">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广告招牌制作架设人员、霓虹光管安装维修人员</w:t>
            </w:r>
          </w:p>
        </w:tc>
      </w:tr>
      <w:tr w14:paraId="091F3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14DB20FD">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广播\影视\文艺</w:t>
            </w:r>
          </w:p>
        </w:tc>
        <w:tc>
          <w:tcPr>
            <w:tcW w:w="8647" w:type="dxa"/>
            <w:shd w:val="clear" w:color="000000" w:fill="FFFFFF"/>
            <w:vAlign w:val="center"/>
          </w:tcPr>
          <w:p w14:paraId="358D4F12">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武打演员、特技演员</w:t>
            </w:r>
          </w:p>
        </w:tc>
      </w:tr>
      <w:tr w14:paraId="6E7CC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0CD274CE">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服务业</w:t>
            </w:r>
          </w:p>
        </w:tc>
        <w:tc>
          <w:tcPr>
            <w:tcW w:w="8647" w:type="dxa"/>
            <w:shd w:val="clear" w:color="000000" w:fill="FFFFFF"/>
            <w:vAlign w:val="center"/>
          </w:tcPr>
          <w:p w14:paraId="00D7B66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锅炉工、救生员、动物园驯兽师、高楼外部清洁工、烟囱清洁工</w:t>
            </w:r>
          </w:p>
        </w:tc>
      </w:tr>
      <w:tr w14:paraId="1525D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44C22B9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教育机构</w:t>
            </w:r>
          </w:p>
        </w:tc>
        <w:tc>
          <w:tcPr>
            <w:tcW w:w="8647" w:type="dxa"/>
            <w:shd w:val="clear" w:color="000000" w:fill="FFFFFF"/>
            <w:vAlign w:val="center"/>
          </w:tcPr>
          <w:p w14:paraId="680EA6E7">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飞行教官、飞行训练学员、军\警校学生</w:t>
            </w:r>
          </w:p>
        </w:tc>
      </w:tr>
      <w:tr w14:paraId="3CB60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68147322">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电信及电力</w:t>
            </w:r>
          </w:p>
        </w:tc>
        <w:tc>
          <w:tcPr>
            <w:tcW w:w="8647" w:type="dxa"/>
            <w:shd w:val="clear" w:color="000000" w:fill="FFFFFF"/>
            <w:vAlign w:val="center"/>
          </w:tcPr>
          <w:p w14:paraId="7391D570">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电力工程设施之架设人员、电力高压电工程设施人员、电台天线维护人员、送电\配电线路工人、变电站值班人员、牵引电力线路安装维护工人、维修电工、锅炉本体设备检修工人、锅炉附属设备检修工人、高压线路带电检修工人、变压器检修工人、变电设备检修工人</w:t>
            </w:r>
          </w:p>
        </w:tc>
      </w:tr>
      <w:tr w14:paraId="2392C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2F39123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水利</w:t>
            </w:r>
          </w:p>
        </w:tc>
        <w:tc>
          <w:tcPr>
            <w:tcW w:w="8647" w:type="dxa"/>
            <w:shd w:val="clear" w:color="000000" w:fill="FFFFFF"/>
            <w:vAlign w:val="center"/>
          </w:tcPr>
          <w:p w14:paraId="3B7C1DDF">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河道修防工人</w:t>
            </w:r>
          </w:p>
        </w:tc>
      </w:tr>
      <w:tr w14:paraId="11066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51773B4C">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商业</w:t>
            </w:r>
          </w:p>
        </w:tc>
        <w:tc>
          <w:tcPr>
            <w:tcW w:w="8647" w:type="dxa"/>
            <w:shd w:val="clear" w:color="000000" w:fill="FFFFFF"/>
            <w:vAlign w:val="center"/>
          </w:tcPr>
          <w:p w14:paraId="662ABFA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液化瓦斯瓦料分装工、起重机操作员</w:t>
            </w:r>
          </w:p>
        </w:tc>
      </w:tr>
      <w:tr w14:paraId="6544B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3DDDBE2D">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安全保卫\消防</w:t>
            </w:r>
          </w:p>
        </w:tc>
        <w:tc>
          <w:tcPr>
            <w:tcW w:w="8647" w:type="dxa"/>
            <w:shd w:val="clear" w:color="000000" w:fill="FFFFFF"/>
            <w:vAlign w:val="center"/>
          </w:tcPr>
          <w:p w14:paraId="7ED5A5C0">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交通警察、刑警、消防队队员、防暴警察、缉毒警察、消防灭火员、防毒防化防核抢险人员、一般事故抢险人员</w:t>
            </w:r>
          </w:p>
        </w:tc>
      </w:tr>
      <w:tr w14:paraId="091B2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18EEF799">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现役军人</w:t>
            </w:r>
          </w:p>
        </w:tc>
        <w:tc>
          <w:tcPr>
            <w:tcW w:w="8647" w:type="dxa"/>
            <w:shd w:val="clear" w:color="000000" w:fill="FFFFFF"/>
            <w:vAlign w:val="center"/>
          </w:tcPr>
          <w:p w14:paraId="229D56E4">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特种兵(含海军陆战队员\伞兵\水兵\爆破兵\蛙人\化学兵\布雷排雷工兵\情报单位有特殊任务者)、空军飞行官兵\海军舰艇官兵\潜艇官兵、前线军人</w:t>
            </w:r>
          </w:p>
        </w:tc>
      </w:tr>
      <w:tr w14:paraId="5ADC7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18" w:type="dxa"/>
            <w:vAlign w:val="center"/>
          </w:tcPr>
          <w:p w14:paraId="718F5D31">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体育</w:t>
            </w:r>
          </w:p>
        </w:tc>
        <w:tc>
          <w:tcPr>
            <w:tcW w:w="8647" w:type="dxa"/>
            <w:shd w:val="clear" w:color="000000" w:fill="FFFFFF"/>
            <w:vAlign w:val="center"/>
          </w:tcPr>
          <w:p w14:paraId="23F721E7">
            <w:pPr>
              <w:widowControl/>
              <w:adjustRightInd w:val="0"/>
              <w:snapToGrid w:val="0"/>
              <w:rPr>
                <w:rFonts w:hint="eastAsia" w:cs="宋体" w:asciiTheme="minorEastAsia" w:hAnsiTheme="minorEastAsia"/>
                <w:color w:val="000000"/>
                <w:kern w:val="0"/>
                <w:sz w:val="24"/>
              </w:rPr>
            </w:pPr>
            <w:r>
              <w:rPr>
                <w:rFonts w:hint="eastAsia" w:cs="宋体" w:asciiTheme="minorEastAsia" w:hAnsiTheme="minorEastAsia"/>
                <w:color w:val="000000"/>
                <w:kern w:val="0"/>
                <w:sz w:val="24"/>
              </w:rPr>
              <w:t>曲棍球球员、冰上曲棍球球员、橄榄球球员、角力人员、摔跤人员、柔道人员、空手道人员、跆拳道人员、武术人员、拳击人员、潜水教练\人员、滑水教练\人员、滑雪教练\人员、马术教练\人员、特技表演教练\人员、雪车教练\与赛人员、滑翔机具教练\教室人员、赛车人员\教练、跳伞人员\教练</w:t>
            </w:r>
          </w:p>
        </w:tc>
      </w:tr>
    </w:tbl>
    <w:p w14:paraId="337EA7CC">
      <w:pPr>
        <w:adjustRightInd w:val="0"/>
        <w:snapToGrid w:val="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5D19AF"/>
    <w:multiLevelType w:val="multilevel"/>
    <w:tmpl w:val="045D19AF"/>
    <w:lvl w:ilvl="0" w:tentative="0">
      <w:start w:val="1"/>
      <w:numFmt w:val="decimal"/>
      <w:lvlText w:val="%1）"/>
      <w:lvlJc w:val="left"/>
      <w:pPr>
        <w:ind w:left="840" w:hanging="420"/>
      </w:pPr>
    </w:lvl>
    <w:lvl w:ilvl="1" w:tentative="0">
      <w:start w:val="1"/>
      <w:numFmt w:val="lowerLetter"/>
      <w:lvlText w:val="%2)"/>
      <w:lvlJc w:val="left"/>
      <w:pPr>
        <w:ind w:left="846"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057C0BD6"/>
    <w:multiLevelType w:val="multilevel"/>
    <w:tmpl w:val="057C0BD6"/>
    <w:lvl w:ilvl="0" w:tentative="0">
      <w:start w:val="1"/>
      <w:numFmt w:val="decimalEnclosedCircle"/>
      <w:lvlText w:val="%1"/>
      <w:lvlJc w:val="left"/>
      <w:pPr>
        <w:ind w:left="440" w:hanging="440"/>
      </w:pPr>
      <w:rPr>
        <w:rFonts w:hint="default"/>
        <w:b w:val="0"/>
        <w:bCs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06657EB7"/>
    <w:multiLevelType w:val="multilevel"/>
    <w:tmpl w:val="06657EB7"/>
    <w:lvl w:ilvl="0" w:tentative="0">
      <w:start w:val="1"/>
      <w:numFmt w:val="decimal"/>
      <w:lvlText w:val="%1)"/>
      <w:lvlJc w:val="left"/>
      <w:pPr>
        <w:ind w:left="420" w:hanging="420"/>
      </w:pPr>
      <w:rPr>
        <w:rFonts w:hint="default"/>
      </w:r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A482739"/>
    <w:multiLevelType w:val="multilevel"/>
    <w:tmpl w:val="0A482739"/>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D6C1A18"/>
    <w:multiLevelType w:val="multilevel"/>
    <w:tmpl w:val="0D6C1A1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16C221E"/>
    <w:multiLevelType w:val="multilevel"/>
    <w:tmpl w:val="116C221E"/>
    <w:lvl w:ilvl="0" w:tentative="0">
      <w:start w:val="1"/>
      <w:numFmt w:val="decimal"/>
      <w:lvlText w:val="%1）"/>
      <w:lvlJc w:val="left"/>
      <w:pPr>
        <w:ind w:left="420" w:hanging="420"/>
      </w:pPr>
      <w:rPr>
        <w:rFonts w:hint="eastAsia"/>
        <w:b w:val="0"/>
        <w:bCs w:val="0"/>
      </w:r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118B3A19"/>
    <w:multiLevelType w:val="multilevel"/>
    <w:tmpl w:val="118B3A19"/>
    <w:lvl w:ilvl="0" w:tentative="0">
      <w:start w:val="1"/>
      <w:numFmt w:val="decimal"/>
      <w:lvlText w:val="%1）"/>
      <w:lvlJc w:val="left"/>
      <w:pPr>
        <w:ind w:left="840" w:hanging="420"/>
      </w:pPr>
    </w:lvl>
    <w:lvl w:ilvl="1" w:tentative="0">
      <w:start w:val="1"/>
      <w:numFmt w:val="lowerLetter"/>
      <w:lvlText w:val="%2)"/>
      <w:lvlJc w:val="left"/>
      <w:pPr>
        <w:ind w:left="440" w:hanging="440"/>
      </w:pPr>
    </w:lvl>
    <w:lvl w:ilvl="2" w:tentative="0">
      <w:start w:val="1"/>
      <w:numFmt w:val="lowerRoman"/>
      <w:lvlText w:val="%3."/>
      <w:lvlJc w:val="right"/>
      <w:pPr>
        <w:ind w:left="42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120E4A98"/>
    <w:multiLevelType w:val="multilevel"/>
    <w:tmpl w:val="120E4A98"/>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9F50767"/>
    <w:multiLevelType w:val="multilevel"/>
    <w:tmpl w:val="19F50767"/>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9">
    <w:nsid w:val="19FC0F2D"/>
    <w:multiLevelType w:val="multilevel"/>
    <w:tmpl w:val="19FC0F2D"/>
    <w:lvl w:ilvl="0" w:tentative="0">
      <w:start w:val="1"/>
      <w:numFmt w:val="decimalEnclosedCircle"/>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0">
    <w:nsid w:val="1E2F2F66"/>
    <w:multiLevelType w:val="multilevel"/>
    <w:tmpl w:val="1E2F2F66"/>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1">
    <w:nsid w:val="23D54DF7"/>
    <w:multiLevelType w:val="multilevel"/>
    <w:tmpl w:val="23D54DF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5C76FA0"/>
    <w:multiLevelType w:val="multilevel"/>
    <w:tmpl w:val="25C76FA0"/>
    <w:lvl w:ilvl="0" w:tentative="0">
      <w:start w:val="1"/>
      <w:numFmt w:val="decimal"/>
      <w:lvlText w:val="%1）"/>
      <w:lvlJc w:val="left"/>
      <w:pPr>
        <w:ind w:left="84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25E21768"/>
    <w:multiLevelType w:val="multilevel"/>
    <w:tmpl w:val="25E21768"/>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95C648C"/>
    <w:multiLevelType w:val="multilevel"/>
    <w:tmpl w:val="295C648C"/>
    <w:lvl w:ilvl="0" w:tentative="0">
      <w:start w:val="1"/>
      <w:numFmt w:val="decimal"/>
      <w:lvlText w:val="%1）"/>
      <w:lvlJc w:val="left"/>
      <w:pPr>
        <w:ind w:left="840" w:hanging="420"/>
      </w:pPr>
    </w:lvl>
    <w:lvl w:ilvl="1" w:tentative="0">
      <w:start w:val="1"/>
      <w:numFmt w:val="lowerLetter"/>
      <w:lvlText w:val="%2)"/>
      <w:lvlJc w:val="left"/>
      <w:pPr>
        <w:ind w:left="440" w:hanging="44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29FC64C3"/>
    <w:multiLevelType w:val="multilevel"/>
    <w:tmpl w:val="29FC64C3"/>
    <w:lvl w:ilvl="0" w:tentative="0">
      <w:start w:val="1"/>
      <w:numFmt w:val="decimalEnclosedCircle"/>
      <w:lvlText w:val="%1"/>
      <w:lvlJc w:val="left"/>
      <w:pPr>
        <w:ind w:left="786" w:hanging="360"/>
      </w:pPr>
      <w:rPr>
        <w:rFonts w:hint="default"/>
        <w:b w:val="0"/>
        <w:bCs/>
      </w:rPr>
    </w:lvl>
    <w:lvl w:ilvl="1" w:tentative="0">
      <w:start w:val="1"/>
      <w:numFmt w:val="lowerLetter"/>
      <w:lvlText w:val="%2)"/>
      <w:lvlJc w:val="left"/>
      <w:pPr>
        <w:ind w:left="1306" w:hanging="440"/>
      </w:pPr>
    </w:lvl>
    <w:lvl w:ilvl="2" w:tentative="0">
      <w:start w:val="1"/>
      <w:numFmt w:val="lowerRoman"/>
      <w:lvlText w:val="%3."/>
      <w:lvlJc w:val="right"/>
      <w:pPr>
        <w:ind w:left="1746" w:hanging="440"/>
      </w:pPr>
    </w:lvl>
    <w:lvl w:ilvl="3" w:tentative="0">
      <w:start w:val="1"/>
      <w:numFmt w:val="decimal"/>
      <w:lvlText w:val="%4."/>
      <w:lvlJc w:val="left"/>
      <w:pPr>
        <w:ind w:left="2186" w:hanging="440"/>
      </w:pPr>
    </w:lvl>
    <w:lvl w:ilvl="4" w:tentative="0">
      <w:start w:val="1"/>
      <w:numFmt w:val="lowerLetter"/>
      <w:lvlText w:val="%5)"/>
      <w:lvlJc w:val="left"/>
      <w:pPr>
        <w:ind w:left="2626" w:hanging="440"/>
      </w:pPr>
    </w:lvl>
    <w:lvl w:ilvl="5" w:tentative="0">
      <w:start w:val="1"/>
      <w:numFmt w:val="lowerRoman"/>
      <w:lvlText w:val="%6."/>
      <w:lvlJc w:val="right"/>
      <w:pPr>
        <w:ind w:left="3066" w:hanging="440"/>
      </w:pPr>
    </w:lvl>
    <w:lvl w:ilvl="6" w:tentative="0">
      <w:start w:val="1"/>
      <w:numFmt w:val="decimal"/>
      <w:lvlText w:val="%7."/>
      <w:lvlJc w:val="left"/>
      <w:pPr>
        <w:ind w:left="3506" w:hanging="440"/>
      </w:pPr>
    </w:lvl>
    <w:lvl w:ilvl="7" w:tentative="0">
      <w:start w:val="1"/>
      <w:numFmt w:val="lowerLetter"/>
      <w:lvlText w:val="%8)"/>
      <w:lvlJc w:val="left"/>
      <w:pPr>
        <w:ind w:left="3946" w:hanging="440"/>
      </w:pPr>
    </w:lvl>
    <w:lvl w:ilvl="8" w:tentative="0">
      <w:start w:val="1"/>
      <w:numFmt w:val="lowerRoman"/>
      <w:lvlText w:val="%9."/>
      <w:lvlJc w:val="right"/>
      <w:pPr>
        <w:ind w:left="4386" w:hanging="440"/>
      </w:pPr>
    </w:lvl>
  </w:abstractNum>
  <w:abstractNum w:abstractNumId="16">
    <w:nsid w:val="2B5F26E6"/>
    <w:multiLevelType w:val="multilevel"/>
    <w:tmpl w:val="2B5F26E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2CDE7AF8"/>
    <w:multiLevelType w:val="multilevel"/>
    <w:tmpl w:val="2CDE7AF8"/>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8">
    <w:nsid w:val="2F6D2450"/>
    <w:multiLevelType w:val="multilevel"/>
    <w:tmpl w:val="2F6D2450"/>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13B63D6"/>
    <w:multiLevelType w:val="multilevel"/>
    <w:tmpl w:val="313B63D6"/>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75C7FE8"/>
    <w:multiLevelType w:val="multilevel"/>
    <w:tmpl w:val="375C7FE8"/>
    <w:lvl w:ilvl="0" w:tentative="0">
      <w:start w:val="1"/>
      <w:numFmt w:val="chineseCountingThousand"/>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88D277A"/>
    <w:multiLevelType w:val="multilevel"/>
    <w:tmpl w:val="388D277A"/>
    <w:lvl w:ilvl="0" w:tentative="0">
      <w:start w:val="4"/>
      <w:numFmt w:val="decimal"/>
      <w:lvlText w:val="%1）"/>
      <w:lvlJc w:val="left"/>
      <w:pPr>
        <w:ind w:left="420" w:hanging="420"/>
      </w:pPr>
      <w:rPr>
        <w:rFonts w:hint="eastAsia"/>
        <w:b w:val="0"/>
        <w:bCs w:val="0"/>
      </w:rPr>
    </w:lvl>
    <w:lvl w:ilvl="1" w:tentative="0">
      <w:start w:val="1"/>
      <w:numFmt w:val="decimalEnclosedCircle"/>
      <w:lvlText w:val="%2"/>
      <w:lvlJc w:val="left"/>
      <w:pPr>
        <w:ind w:left="440" w:hanging="440"/>
      </w:pPr>
      <w:rPr>
        <w:rFonts w:hint="default"/>
        <w:b w:val="0"/>
        <w:bCs w:val="0"/>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2">
    <w:nsid w:val="3EC019EB"/>
    <w:multiLevelType w:val="multilevel"/>
    <w:tmpl w:val="3EC019EB"/>
    <w:lvl w:ilvl="0" w:tentative="0">
      <w:start w:val="1"/>
      <w:numFmt w:val="decimal"/>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2711900"/>
    <w:multiLevelType w:val="multilevel"/>
    <w:tmpl w:val="4271190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45AA44C5"/>
    <w:multiLevelType w:val="multilevel"/>
    <w:tmpl w:val="45AA44C5"/>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BD60AEF"/>
    <w:multiLevelType w:val="multilevel"/>
    <w:tmpl w:val="4BD60AEF"/>
    <w:lvl w:ilvl="0" w:tentative="0">
      <w:start w:val="1"/>
      <w:numFmt w:val="decimal"/>
      <w:lvlText w:val="%1）"/>
      <w:lvlJc w:val="left"/>
      <w:pPr>
        <w:ind w:left="420" w:hanging="420"/>
      </w:pPr>
    </w:lvl>
    <w:lvl w:ilvl="1" w:tentative="0">
      <w:start w:val="1"/>
      <w:numFmt w:val="lowerLetter"/>
      <w:lvlText w:val="%2)"/>
      <w:lvlJc w:val="left"/>
      <w:pPr>
        <w:ind w:left="846"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4C2E453C"/>
    <w:multiLevelType w:val="multilevel"/>
    <w:tmpl w:val="4C2E453C"/>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4C5A6143"/>
    <w:multiLevelType w:val="multilevel"/>
    <w:tmpl w:val="4C5A6143"/>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4F2214E2"/>
    <w:multiLevelType w:val="multilevel"/>
    <w:tmpl w:val="4F2214E2"/>
    <w:lvl w:ilvl="0" w:tentative="0">
      <w:start w:val="1"/>
      <w:numFmt w:val="lowerRoman"/>
      <w:lvlText w:val="%1."/>
      <w:lvlJc w:val="righ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866"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9">
    <w:nsid w:val="4F7756C9"/>
    <w:multiLevelType w:val="multilevel"/>
    <w:tmpl w:val="4F7756C9"/>
    <w:lvl w:ilvl="0" w:tentative="0">
      <w:start w:val="1"/>
      <w:numFmt w:val="decimalEnclosedCircle"/>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0">
    <w:nsid w:val="517C48E6"/>
    <w:multiLevelType w:val="multilevel"/>
    <w:tmpl w:val="517C48E6"/>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1CD6944"/>
    <w:multiLevelType w:val="multilevel"/>
    <w:tmpl w:val="51CD6944"/>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b w:val="0"/>
        <w:bCs w:val="0"/>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52C220C1"/>
    <w:multiLevelType w:val="multilevel"/>
    <w:tmpl w:val="52C220C1"/>
    <w:lvl w:ilvl="0" w:tentative="0">
      <w:start w:val="1"/>
      <w:numFmt w:val="decimal"/>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543373D6"/>
    <w:multiLevelType w:val="multilevel"/>
    <w:tmpl w:val="543373D6"/>
    <w:lvl w:ilvl="0" w:tentative="0">
      <w:start w:val="1"/>
      <w:numFmt w:val="lowerRoman"/>
      <w:lvlText w:val="%1."/>
      <w:lvlJc w:val="right"/>
      <w:pPr>
        <w:ind w:left="866" w:hanging="440"/>
      </w:pPr>
    </w:lvl>
    <w:lvl w:ilvl="1" w:tentative="0">
      <w:start w:val="1"/>
      <w:numFmt w:val="lowerLetter"/>
      <w:lvlText w:val="%2)"/>
      <w:lvlJc w:val="left"/>
      <w:pPr>
        <w:ind w:left="1306" w:hanging="440"/>
      </w:pPr>
    </w:lvl>
    <w:lvl w:ilvl="2" w:tentative="0">
      <w:start w:val="1"/>
      <w:numFmt w:val="lowerRoman"/>
      <w:lvlText w:val="%3."/>
      <w:lvlJc w:val="right"/>
      <w:pPr>
        <w:ind w:left="1746" w:hanging="440"/>
      </w:pPr>
    </w:lvl>
    <w:lvl w:ilvl="3" w:tentative="0">
      <w:start w:val="1"/>
      <w:numFmt w:val="decimal"/>
      <w:lvlText w:val="%4."/>
      <w:lvlJc w:val="left"/>
      <w:pPr>
        <w:ind w:left="2186" w:hanging="440"/>
      </w:pPr>
    </w:lvl>
    <w:lvl w:ilvl="4" w:tentative="0">
      <w:start w:val="1"/>
      <w:numFmt w:val="lowerLetter"/>
      <w:lvlText w:val="%5)"/>
      <w:lvlJc w:val="left"/>
      <w:pPr>
        <w:ind w:left="2626" w:hanging="440"/>
      </w:pPr>
    </w:lvl>
    <w:lvl w:ilvl="5" w:tentative="0">
      <w:start w:val="1"/>
      <w:numFmt w:val="lowerRoman"/>
      <w:lvlText w:val="%6."/>
      <w:lvlJc w:val="right"/>
      <w:pPr>
        <w:ind w:left="3066" w:hanging="440"/>
      </w:pPr>
    </w:lvl>
    <w:lvl w:ilvl="6" w:tentative="0">
      <w:start w:val="1"/>
      <w:numFmt w:val="decimal"/>
      <w:lvlText w:val="%7."/>
      <w:lvlJc w:val="left"/>
      <w:pPr>
        <w:ind w:left="3506" w:hanging="440"/>
      </w:pPr>
    </w:lvl>
    <w:lvl w:ilvl="7" w:tentative="0">
      <w:start w:val="1"/>
      <w:numFmt w:val="lowerLetter"/>
      <w:lvlText w:val="%8)"/>
      <w:lvlJc w:val="left"/>
      <w:pPr>
        <w:ind w:left="3946" w:hanging="440"/>
      </w:pPr>
    </w:lvl>
    <w:lvl w:ilvl="8" w:tentative="0">
      <w:start w:val="1"/>
      <w:numFmt w:val="lowerRoman"/>
      <w:lvlText w:val="%9."/>
      <w:lvlJc w:val="right"/>
      <w:pPr>
        <w:ind w:left="4386" w:hanging="440"/>
      </w:pPr>
    </w:lvl>
  </w:abstractNum>
  <w:abstractNum w:abstractNumId="34">
    <w:nsid w:val="560E12A5"/>
    <w:multiLevelType w:val="multilevel"/>
    <w:tmpl w:val="560E12A5"/>
    <w:lvl w:ilvl="0" w:tentative="0">
      <w:start w:val="1"/>
      <w:numFmt w:val="decimal"/>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57C32F69"/>
    <w:multiLevelType w:val="multilevel"/>
    <w:tmpl w:val="57C32F69"/>
    <w:lvl w:ilvl="0" w:tentative="0">
      <w:start w:val="1"/>
      <w:numFmt w:val="decimal"/>
      <w:lvlText w:val="%1）"/>
      <w:lvlJc w:val="left"/>
      <w:pPr>
        <w:ind w:left="420" w:hanging="420"/>
      </w:pPr>
      <w:rPr>
        <w:rFonts w:hint="eastAsia"/>
      </w:r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6">
    <w:nsid w:val="57C72BAA"/>
    <w:multiLevelType w:val="multilevel"/>
    <w:tmpl w:val="57C72BAA"/>
    <w:lvl w:ilvl="0" w:tentative="0">
      <w:start w:val="1"/>
      <w:numFmt w:val="decimal"/>
      <w:lvlText w:val="%1）"/>
      <w:lvlJc w:val="left"/>
      <w:pPr>
        <w:ind w:left="840" w:hanging="420"/>
      </w:pPr>
    </w:lvl>
    <w:lvl w:ilvl="1" w:tentative="0">
      <w:start w:val="1"/>
      <w:numFmt w:val="lowerLetter"/>
      <w:lvlText w:val="%2)"/>
      <w:lvlJc w:val="left"/>
      <w:pPr>
        <w:ind w:left="42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7">
    <w:nsid w:val="59961029"/>
    <w:multiLevelType w:val="multilevel"/>
    <w:tmpl w:val="59961029"/>
    <w:lvl w:ilvl="0" w:tentative="0">
      <w:start w:val="1"/>
      <w:numFmt w:val="decimal"/>
      <w:lvlText w:val="%1)"/>
      <w:lvlJc w:val="left"/>
      <w:pPr>
        <w:ind w:left="420" w:hanging="420"/>
      </w:pPr>
      <w:rPr>
        <w:rFonts w:hint="default"/>
      </w:r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5AEE3779"/>
    <w:multiLevelType w:val="multilevel"/>
    <w:tmpl w:val="5AEE3779"/>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5C7703C8"/>
    <w:multiLevelType w:val="multilevel"/>
    <w:tmpl w:val="5C7703C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5D275C49"/>
    <w:multiLevelType w:val="multilevel"/>
    <w:tmpl w:val="5D275C49"/>
    <w:lvl w:ilvl="0" w:tentative="0">
      <w:start w:val="4"/>
      <w:numFmt w:val="decimal"/>
      <w:lvlText w:val="%1）"/>
      <w:lvlJc w:val="left"/>
      <w:pPr>
        <w:ind w:left="420" w:hanging="420"/>
      </w:pPr>
      <w:rPr>
        <w:rFonts w:hint="eastAsia"/>
      </w:r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1">
    <w:nsid w:val="5DAB3FDE"/>
    <w:multiLevelType w:val="multilevel"/>
    <w:tmpl w:val="5DAB3FDE"/>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5E6052DC"/>
    <w:multiLevelType w:val="multilevel"/>
    <w:tmpl w:val="5E6052DC"/>
    <w:lvl w:ilvl="0" w:tentative="0">
      <w:start w:val="1"/>
      <w:numFmt w:val="decimalEnclosedCircle"/>
      <w:lvlText w:val="%1"/>
      <w:lvlJc w:val="left"/>
      <w:pPr>
        <w:ind w:left="420" w:hanging="420"/>
      </w:pPr>
      <w:rPr>
        <w:rFonts w:hint="default"/>
      </w:r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5E6D37E5"/>
    <w:multiLevelType w:val="multilevel"/>
    <w:tmpl w:val="5E6D37E5"/>
    <w:lvl w:ilvl="0" w:tentative="0">
      <w:start w:val="1"/>
      <w:numFmt w:val="decimal"/>
      <w:lvlText w:val="%1)"/>
      <w:lvlJc w:val="left"/>
      <w:pPr>
        <w:ind w:left="420" w:hanging="420"/>
      </w:pPr>
      <w:rPr>
        <w:rFonts w:hint="default"/>
      </w:r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4">
    <w:nsid w:val="60572986"/>
    <w:multiLevelType w:val="multilevel"/>
    <w:tmpl w:val="60572986"/>
    <w:lvl w:ilvl="0" w:tentative="0">
      <w:start w:val="1"/>
      <w:numFmt w:val="decimal"/>
      <w:lvlText w:val="%1）"/>
      <w:lvlJc w:val="left"/>
      <w:pPr>
        <w:ind w:left="420" w:hanging="4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5">
    <w:nsid w:val="612354DE"/>
    <w:multiLevelType w:val="multilevel"/>
    <w:tmpl w:val="612354DE"/>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63CA05EE"/>
    <w:multiLevelType w:val="multilevel"/>
    <w:tmpl w:val="63CA05EE"/>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b w:val="0"/>
        <w:bCs w:val="0"/>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64B71E8D"/>
    <w:multiLevelType w:val="multilevel"/>
    <w:tmpl w:val="64B71E8D"/>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660107FC"/>
    <w:multiLevelType w:val="multilevel"/>
    <w:tmpl w:val="660107F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9">
    <w:nsid w:val="6ACF5910"/>
    <w:multiLevelType w:val="multilevel"/>
    <w:tmpl w:val="6ACF5910"/>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b w:val="0"/>
        <w:bCs w:val="0"/>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6C4F6250"/>
    <w:multiLevelType w:val="multilevel"/>
    <w:tmpl w:val="6C4F6250"/>
    <w:lvl w:ilvl="0" w:tentative="0">
      <w:start w:val="1"/>
      <w:numFmt w:val="decimal"/>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1">
    <w:nsid w:val="6C6F1D52"/>
    <w:multiLevelType w:val="multilevel"/>
    <w:tmpl w:val="6C6F1D5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2">
    <w:nsid w:val="6D383F51"/>
    <w:multiLevelType w:val="multilevel"/>
    <w:tmpl w:val="6D383F51"/>
    <w:lvl w:ilvl="0" w:tentative="0">
      <w:start w:val="1"/>
      <w:numFmt w:val="decimal"/>
      <w:lvlText w:val="%1）"/>
      <w:lvlJc w:val="left"/>
      <w:pPr>
        <w:ind w:left="840" w:hanging="420"/>
      </w:pPr>
    </w:lvl>
    <w:lvl w:ilvl="1" w:tentative="0">
      <w:start w:val="1"/>
      <w:numFmt w:val="lowerLetter"/>
      <w:lvlText w:val="%2)"/>
      <w:lvlJc w:val="left"/>
      <w:pPr>
        <w:ind w:left="440" w:hanging="44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3">
    <w:nsid w:val="6D397A6B"/>
    <w:multiLevelType w:val="multilevel"/>
    <w:tmpl w:val="6D397A6B"/>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6F933614"/>
    <w:multiLevelType w:val="multilevel"/>
    <w:tmpl w:val="6F933614"/>
    <w:lvl w:ilvl="0" w:tentative="0">
      <w:start w:val="1"/>
      <w:numFmt w:val="decimal"/>
      <w:lvlText w:val="%1）"/>
      <w:lvlJc w:val="left"/>
      <w:pPr>
        <w:ind w:left="840" w:hanging="420"/>
      </w:pPr>
    </w:lvl>
    <w:lvl w:ilvl="1" w:tentative="0">
      <w:start w:val="1"/>
      <w:numFmt w:val="lowerLetter"/>
      <w:lvlText w:val="%2)"/>
      <w:lvlJc w:val="left"/>
      <w:pPr>
        <w:ind w:left="440" w:hanging="44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5">
    <w:nsid w:val="713C4E89"/>
    <w:multiLevelType w:val="multilevel"/>
    <w:tmpl w:val="713C4E89"/>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6">
    <w:nsid w:val="734E51D6"/>
    <w:multiLevelType w:val="multilevel"/>
    <w:tmpl w:val="734E51D6"/>
    <w:lvl w:ilvl="0" w:tentative="0">
      <w:start w:val="1"/>
      <w:numFmt w:val="decimal"/>
      <w:lvlText w:val="%1）"/>
      <w:lvlJc w:val="left"/>
      <w:pPr>
        <w:ind w:left="420" w:hanging="420"/>
      </w:p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7">
    <w:nsid w:val="751F785A"/>
    <w:multiLevelType w:val="multilevel"/>
    <w:tmpl w:val="751F785A"/>
    <w:lvl w:ilvl="0" w:tentative="0">
      <w:start w:val="1"/>
      <w:numFmt w:val="decimalEnclosedCircle"/>
      <w:lvlText w:val="%1"/>
      <w:lvlJc w:val="left"/>
      <w:pPr>
        <w:ind w:left="440" w:hanging="44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8">
    <w:nsid w:val="75F34938"/>
    <w:multiLevelType w:val="multilevel"/>
    <w:tmpl w:val="75F34938"/>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59">
    <w:nsid w:val="78023DA4"/>
    <w:multiLevelType w:val="multilevel"/>
    <w:tmpl w:val="78023DA4"/>
    <w:lvl w:ilvl="0" w:tentative="0">
      <w:start w:val="1"/>
      <w:numFmt w:val="decimal"/>
      <w:lvlText w:val="%1)"/>
      <w:lvlJc w:val="left"/>
      <w:pPr>
        <w:ind w:left="420" w:hanging="420"/>
      </w:pPr>
      <w:rPr>
        <w:rFonts w:hint="default"/>
      </w:rPr>
    </w:lvl>
    <w:lvl w:ilvl="1" w:tentative="0">
      <w:start w:val="1"/>
      <w:numFmt w:val="decimalEnclosedCircle"/>
      <w:lvlText w:val="%2"/>
      <w:lvlJc w:val="left"/>
      <w:pPr>
        <w:ind w:left="440" w:hanging="44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0">
    <w:nsid w:val="7C3D765A"/>
    <w:multiLevelType w:val="multilevel"/>
    <w:tmpl w:val="7C3D765A"/>
    <w:lvl w:ilvl="0" w:tentative="0">
      <w:start w:val="2"/>
      <w:numFmt w:val="decimal"/>
      <w:lvlText w:val="%1）"/>
      <w:lvlJc w:val="left"/>
      <w:pPr>
        <w:ind w:left="420" w:hanging="420"/>
      </w:pPr>
      <w:rPr>
        <w:rFonts w:hint="eastAsia"/>
      </w:r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1">
    <w:nsid w:val="7FA66555"/>
    <w:multiLevelType w:val="multilevel"/>
    <w:tmpl w:val="7FA66555"/>
    <w:lvl w:ilvl="0" w:tentative="0">
      <w:start w:val="1"/>
      <w:numFmt w:val="decimal"/>
      <w:lvlText w:val="%1）"/>
      <w:lvlJc w:val="left"/>
      <w:pPr>
        <w:ind w:left="840" w:hanging="420"/>
      </w:pPr>
    </w:lvl>
    <w:lvl w:ilvl="1" w:tentative="0">
      <w:start w:val="1"/>
      <w:numFmt w:val="decimal"/>
      <w:lvlText w:val="%2)"/>
      <w:lvlJc w:val="left"/>
      <w:pPr>
        <w:ind w:left="866" w:hanging="44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2">
    <w:nsid w:val="7FD03594"/>
    <w:multiLevelType w:val="multilevel"/>
    <w:tmpl w:val="7FD03594"/>
    <w:lvl w:ilvl="0" w:tentative="0">
      <w:start w:val="1"/>
      <w:numFmt w:val="decimal"/>
      <w:lvlText w:val="%1）"/>
      <w:lvlJc w:val="left"/>
      <w:pPr>
        <w:ind w:left="420" w:hanging="4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20"/>
  </w:num>
  <w:num w:numId="2">
    <w:abstractNumId w:val="23"/>
  </w:num>
  <w:num w:numId="3">
    <w:abstractNumId w:val="30"/>
  </w:num>
  <w:num w:numId="4">
    <w:abstractNumId w:val="24"/>
  </w:num>
  <w:num w:numId="5">
    <w:abstractNumId w:val="38"/>
  </w:num>
  <w:num w:numId="6">
    <w:abstractNumId w:val="42"/>
  </w:num>
  <w:num w:numId="7">
    <w:abstractNumId w:val="12"/>
  </w:num>
  <w:num w:numId="8">
    <w:abstractNumId w:val="61"/>
  </w:num>
  <w:num w:numId="9">
    <w:abstractNumId w:val="58"/>
  </w:num>
  <w:num w:numId="10">
    <w:abstractNumId w:val="17"/>
  </w:num>
  <w:num w:numId="11">
    <w:abstractNumId w:val="2"/>
  </w:num>
  <w:num w:numId="12">
    <w:abstractNumId w:val="9"/>
  </w:num>
  <w:num w:numId="13">
    <w:abstractNumId w:val="56"/>
  </w:num>
  <w:num w:numId="14">
    <w:abstractNumId w:val="10"/>
  </w:num>
  <w:num w:numId="15">
    <w:abstractNumId w:val="8"/>
  </w:num>
  <w:num w:numId="16">
    <w:abstractNumId w:val="37"/>
  </w:num>
  <w:num w:numId="17">
    <w:abstractNumId w:val="3"/>
  </w:num>
  <w:num w:numId="18">
    <w:abstractNumId w:val="59"/>
  </w:num>
  <w:num w:numId="19">
    <w:abstractNumId w:val="14"/>
  </w:num>
  <w:num w:numId="20">
    <w:abstractNumId w:val="18"/>
  </w:num>
  <w:num w:numId="21">
    <w:abstractNumId w:val="40"/>
  </w:num>
  <w:num w:numId="22">
    <w:abstractNumId w:val="43"/>
  </w:num>
  <w:num w:numId="23">
    <w:abstractNumId w:val="6"/>
  </w:num>
  <w:num w:numId="24">
    <w:abstractNumId w:val="28"/>
  </w:num>
  <w:num w:numId="25">
    <w:abstractNumId w:val="33"/>
  </w:num>
  <w:num w:numId="26">
    <w:abstractNumId w:val="60"/>
  </w:num>
  <w:num w:numId="27">
    <w:abstractNumId w:val="52"/>
  </w:num>
  <w:num w:numId="28">
    <w:abstractNumId w:val="57"/>
  </w:num>
  <w:num w:numId="29">
    <w:abstractNumId w:val="54"/>
  </w:num>
  <w:num w:numId="30">
    <w:abstractNumId w:val="19"/>
  </w:num>
  <w:num w:numId="31">
    <w:abstractNumId w:val="35"/>
  </w:num>
  <w:num w:numId="32">
    <w:abstractNumId w:val="31"/>
  </w:num>
  <w:num w:numId="33">
    <w:abstractNumId w:val="46"/>
  </w:num>
  <w:num w:numId="34">
    <w:abstractNumId w:val="21"/>
  </w:num>
  <w:num w:numId="35">
    <w:abstractNumId w:val="5"/>
  </w:num>
  <w:num w:numId="36">
    <w:abstractNumId w:val="1"/>
  </w:num>
  <w:num w:numId="37">
    <w:abstractNumId w:val="29"/>
  </w:num>
  <w:num w:numId="38">
    <w:abstractNumId w:val="15"/>
  </w:num>
  <w:num w:numId="39">
    <w:abstractNumId w:val="62"/>
  </w:num>
  <w:num w:numId="40">
    <w:abstractNumId w:val="27"/>
  </w:num>
  <w:num w:numId="41">
    <w:abstractNumId w:val="44"/>
  </w:num>
  <w:num w:numId="42">
    <w:abstractNumId w:val="53"/>
  </w:num>
  <w:num w:numId="43">
    <w:abstractNumId w:val="34"/>
  </w:num>
  <w:num w:numId="44">
    <w:abstractNumId w:val="25"/>
  </w:num>
  <w:num w:numId="45">
    <w:abstractNumId w:val="49"/>
  </w:num>
  <w:num w:numId="46">
    <w:abstractNumId w:val="51"/>
  </w:num>
  <w:num w:numId="47">
    <w:abstractNumId w:val="0"/>
  </w:num>
  <w:num w:numId="48">
    <w:abstractNumId w:val="48"/>
  </w:num>
  <w:num w:numId="49">
    <w:abstractNumId w:val="13"/>
  </w:num>
  <w:num w:numId="50">
    <w:abstractNumId w:val="32"/>
  </w:num>
  <w:num w:numId="51">
    <w:abstractNumId w:val="39"/>
  </w:num>
  <w:num w:numId="52">
    <w:abstractNumId w:val="36"/>
  </w:num>
  <w:num w:numId="53">
    <w:abstractNumId w:val="22"/>
  </w:num>
  <w:num w:numId="54">
    <w:abstractNumId w:val="41"/>
  </w:num>
  <w:num w:numId="55">
    <w:abstractNumId w:val="50"/>
  </w:num>
  <w:num w:numId="56">
    <w:abstractNumId w:val="4"/>
  </w:num>
  <w:num w:numId="57">
    <w:abstractNumId w:val="11"/>
  </w:num>
  <w:num w:numId="58">
    <w:abstractNumId w:val="45"/>
  </w:num>
  <w:num w:numId="59">
    <w:abstractNumId w:val="16"/>
  </w:num>
  <w:num w:numId="60">
    <w:abstractNumId w:val="55"/>
  </w:num>
  <w:num w:numId="61">
    <w:abstractNumId w:val="47"/>
  </w:num>
  <w:num w:numId="62">
    <w:abstractNumId w:val="26"/>
  </w:num>
  <w:num w:numId="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doNotDisplayPageBoundaries w:val="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5F8"/>
    <w:rsid w:val="00000CD7"/>
    <w:rsid w:val="00001FDC"/>
    <w:rsid w:val="0000201A"/>
    <w:rsid w:val="000029F8"/>
    <w:rsid w:val="00006618"/>
    <w:rsid w:val="00006DFB"/>
    <w:rsid w:val="000078B1"/>
    <w:rsid w:val="00007A96"/>
    <w:rsid w:val="00010E38"/>
    <w:rsid w:val="00014546"/>
    <w:rsid w:val="0001769C"/>
    <w:rsid w:val="000203C3"/>
    <w:rsid w:val="00021B06"/>
    <w:rsid w:val="000222BF"/>
    <w:rsid w:val="00024162"/>
    <w:rsid w:val="00024249"/>
    <w:rsid w:val="0003063C"/>
    <w:rsid w:val="00030675"/>
    <w:rsid w:val="000314C9"/>
    <w:rsid w:val="00032C70"/>
    <w:rsid w:val="00032E3F"/>
    <w:rsid w:val="00033A34"/>
    <w:rsid w:val="000361FE"/>
    <w:rsid w:val="00051E56"/>
    <w:rsid w:val="000557EE"/>
    <w:rsid w:val="00060429"/>
    <w:rsid w:val="000611AA"/>
    <w:rsid w:val="00062A77"/>
    <w:rsid w:val="0006346D"/>
    <w:rsid w:val="00063A9C"/>
    <w:rsid w:val="00066092"/>
    <w:rsid w:val="00066B38"/>
    <w:rsid w:val="00067C75"/>
    <w:rsid w:val="000702E3"/>
    <w:rsid w:val="00072024"/>
    <w:rsid w:val="000728D5"/>
    <w:rsid w:val="00075178"/>
    <w:rsid w:val="000756B1"/>
    <w:rsid w:val="000760E7"/>
    <w:rsid w:val="00080AA7"/>
    <w:rsid w:val="0008364B"/>
    <w:rsid w:val="0008417C"/>
    <w:rsid w:val="00085098"/>
    <w:rsid w:val="00087676"/>
    <w:rsid w:val="00087C9A"/>
    <w:rsid w:val="00091218"/>
    <w:rsid w:val="00091602"/>
    <w:rsid w:val="00091912"/>
    <w:rsid w:val="00092C82"/>
    <w:rsid w:val="0009301C"/>
    <w:rsid w:val="0009561D"/>
    <w:rsid w:val="000961FB"/>
    <w:rsid w:val="00096228"/>
    <w:rsid w:val="00096E0A"/>
    <w:rsid w:val="00097139"/>
    <w:rsid w:val="000A2B73"/>
    <w:rsid w:val="000A5AC4"/>
    <w:rsid w:val="000A6103"/>
    <w:rsid w:val="000A6615"/>
    <w:rsid w:val="000A6850"/>
    <w:rsid w:val="000A7F10"/>
    <w:rsid w:val="000B01E1"/>
    <w:rsid w:val="000B1A12"/>
    <w:rsid w:val="000B1FCD"/>
    <w:rsid w:val="000B29ED"/>
    <w:rsid w:val="000B53D0"/>
    <w:rsid w:val="000B6670"/>
    <w:rsid w:val="000B6B4A"/>
    <w:rsid w:val="000B74EB"/>
    <w:rsid w:val="000B7E1A"/>
    <w:rsid w:val="000C156F"/>
    <w:rsid w:val="000C174C"/>
    <w:rsid w:val="000C1FAC"/>
    <w:rsid w:val="000C485E"/>
    <w:rsid w:val="000C51BA"/>
    <w:rsid w:val="000C5C5F"/>
    <w:rsid w:val="000D1931"/>
    <w:rsid w:val="000D26AE"/>
    <w:rsid w:val="000D4D31"/>
    <w:rsid w:val="000D4FCE"/>
    <w:rsid w:val="000E1672"/>
    <w:rsid w:val="000E2D49"/>
    <w:rsid w:val="000E34B4"/>
    <w:rsid w:val="000E474A"/>
    <w:rsid w:val="000E6101"/>
    <w:rsid w:val="000E6BC5"/>
    <w:rsid w:val="000E74BB"/>
    <w:rsid w:val="000F18BC"/>
    <w:rsid w:val="000F1A64"/>
    <w:rsid w:val="000F1D1C"/>
    <w:rsid w:val="000F43FE"/>
    <w:rsid w:val="000F6979"/>
    <w:rsid w:val="000F6AE3"/>
    <w:rsid w:val="000F6B8F"/>
    <w:rsid w:val="000F7A31"/>
    <w:rsid w:val="00100DD7"/>
    <w:rsid w:val="00101DC1"/>
    <w:rsid w:val="0010524E"/>
    <w:rsid w:val="00105627"/>
    <w:rsid w:val="0011098C"/>
    <w:rsid w:val="0011458C"/>
    <w:rsid w:val="00115120"/>
    <w:rsid w:val="001215F3"/>
    <w:rsid w:val="00121893"/>
    <w:rsid w:val="0012277B"/>
    <w:rsid w:val="00123761"/>
    <w:rsid w:val="001251B9"/>
    <w:rsid w:val="00126AF7"/>
    <w:rsid w:val="001314BF"/>
    <w:rsid w:val="00132710"/>
    <w:rsid w:val="00133E51"/>
    <w:rsid w:val="001341D6"/>
    <w:rsid w:val="0013734F"/>
    <w:rsid w:val="001412AF"/>
    <w:rsid w:val="00141C57"/>
    <w:rsid w:val="00143ED4"/>
    <w:rsid w:val="0014688E"/>
    <w:rsid w:val="001470CA"/>
    <w:rsid w:val="00151673"/>
    <w:rsid w:val="00151A26"/>
    <w:rsid w:val="00151ADA"/>
    <w:rsid w:val="001539B5"/>
    <w:rsid w:val="00153F94"/>
    <w:rsid w:val="0015451C"/>
    <w:rsid w:val="001555DB"/>
    <w:rsid w:val="001569B2"/>
    <w:rsid w:val="00156E84"/>
    <w:rsid w:val="0016249A"/>
    <w:rsid w:val="00162F41"/>
    <w:rsid w:val="00162FB9"/>
    <w:rsid w:val="00165087"/>
    <w:rsid w:val="00166660"/>
    <w:rsid w:val="00166EF2"/>
    <w:rsid w:val="00166FBE"/>
    <w:rsid w:val="001671F2"/>
    <w:rsid w:val="00170E91"/>
    <w:rsid w:val="00171D59"/>
    <w:rsid w:val="00172A27"/>
    <w:rsid w:val="00176B37"/>
    <w:rsid w:val="00176DD4"/>
    <w:rsid w:val="001815BA"/>
    <w:rsid w:val="00182735"/>
    <w:rsid w:val="001832AD"/>
    <w:rsid w:val="00184ABE"/>
    <w:rsid w:val="001858AE"/>
    <w:rsid w:val="00187B15"/>
    <w:rsid w:val="00190697"/>
    <w:rsid w:val="00190ADB"/>
    <w:rsid w:val="001913F0"/>
    <w:rsid w:val="001917AD"/>
    <w:rsid w:val="00193898"/>
    <w:rsid w:val="0019392C"/>
    <w:rsid w:val="00195A86"/>
    <w:rsid w:val="001A1AFD"/>
    <w:rsid w:val="001A3267"/>
    <w:rsid w:val="001B1D5C"/>
    <w:rsid w:val="001B37A6"/>
    <w:rsid w:val="001B3A59"/>
    <w:rsid w:val="001B464D"/>
    <w:rsid w:val="001B477D"/>
    <w:rsid w:val="001B5EB7"/>
    <w:rsid w:val="001C2563"/>
    <w:rsid w:val="001C3556"/>
    <w:rsid w:val="001D0853"/>
    <w:rsid w:val="001D0A1C"/>
    <w:rsid w:val="001D241D"/>
    <w:rsid w:val="001D3491"/>
    <w:rsid w:val="001E0ED1"/>
    <w:rsid w:val="001E2D07"/>
    <w:rsid w:val="001F1732"/>
    <w:rsid w:val="001F2AEB"/>
    <w:rsid w:val="001F2B73"/>
    <w:rsid w:val="001F49ED"/>
    <w:rsid w:val="001F6F84"/>
    <w:rsid w:val="00203F4D"/>
    <w:rsid w:val="00203F79"/>
    <w:rsid w:val="0020564E"/>
    <w:rsid w:val="0021090C"/>
    <w:rsid w:val="00211507"/>
    <w:rsid w:val="002116D7"/>
    <w:rsid w:val="00211820"/>
    <w:rsid w:val="0021328A"/>
    <w:rsid w:val="00213BC9"/>
    <w:rsid w:val="002145BB"/>
    <w:rsid w:val="0022120A"/>
    <w:rsid w:val="002228EC"/>
    <w:rsid w:val="00223548"/>
    <w:rsid w:val="0022378F"/>
    <w:rsid w:val="002239A5"/>
    <w:rsid w:val="002252D8"/>
    <w:rsid w:val="00225A6A"/>
    <w:rsid w:val="00230F2D"/>
    <w:rsid w:val="00231040"/>
    <w:rsid w:val="00231BC1"/>
    <w:rsid w:val="002332FB"/>
    <w:rsid w:val="0023563B"/>
    <w:rsid w:val="002358CB"/>
    <w:rsid w:val="002375EC"/>
    <w:rsid w:val="00240C7B"/>
    <w:rsid w:val="0024257B"/>
    <w:rsid w:val="00242B1F"/>
    <w:rsid w:val="00242FF1"/>
    <w:rsid w:val="002436A7"/>
    <w:rsid w:val="00245BF4"/>
    <w:rsid w:val="00245F6F"/>
    <w:rsid w:val="002508A0"/>
    <w:rsid w:val="00251235"/>
    <w:rsid w:val="002531E4"/>
    <w:rsid w:val="00253CB1"/>
    <w:rsid w:val="00253F0A"/>
    <w:rsid w:val="00254CD7"/>
    <w:rsid w:val="0025789A"/>
    <w:rsid w:val="00260670"/>
    <w:rsid w:val="00260F48"/>
    <w:rsid w:val="002619DE"/>
    <w:rsid w:val="00263952"/>
    <w:rsid w:val="0026460C"/>
    <w:rsid w:val="00265433"/>
    <w:rsid w:val="002661E7"/>
    <w:rsid w:val="00273122"/>
    <w:rsid w:val="00274584"/>
    <w:rsid w:val="002749D1"/>
    <w:rsid w:val="00275E0C"/>
    <w:rsid w:val="0027613F"/>
    <w:rsid w:val="00280402"/>
    <w:rsid w:val="0028041F"/>
    <w:rsid w:val="0028229C"/>
    <w:rsid w:val="002825BB"/>
    <w:rsid w:val="00283947"/>
    <w:rsid w:val="00286DD9"/>
    <w:rsid w:val="002912BC"/>
    <w:rsid w:val="00292915"/>
    <w:rsid w:val="00293ED5"/>
    <w:rsid w:val="00294083"/>
    <w:rsid w:val="002948FC"/>
    <w:rsid w:val="00296290"/>
    <w:rsid w:val="00297D69"/>
    <w:rsid w:val="002A1913"/>
    <w:rsid w:val="002A197E"/>
    <w:rsid w:val="002A7187"/>
    <w:rsid w:val="002B397F"/>
    <w:rsid w:val="002B5F39"/>
    <w:rsid w:val="002B6107"/>
    <w:rsid w:val="002B61ED"/>
    <w:rsid w:val="002C1CD1"/>
    <w:rsid w:val="002C228D"/>
    <w:rsid w:val="002C4F3D"/>
    <w:rsid w:val="002D02CB"/>
    <w:rsid w:val="002D1263"/>
    <w:rsid w:val="002D235A"/>
    <w:rsid w:val="002D2B23"/>
    <w:rsid w:val="002D2DE1"/>
    <w:rsid w:val="002D3412"/>
    <w:rsid w:val="002D3762"/>
    <w:rsid w:val="002D4F4B"/>
    <w:rsid w:val="002D5349"/>
    <w:rsid w:val="002D6790"/>
    <w:rsid w:val="002D7CC0"/>
    <w:rsid w:val="002E04BB"/>
    <w:rsid w:val="002E0F0C"/>
    <w:rsid w:val="002E34A4"/>
    <w:rsid w:val="002E48EF"/>
    <w:rsid w:val="002E5407"/>
    <w:rsid w:val="002E5CFA"/>
    <w:rsid w:val="002E6098"/>
    <w:rsid w:val="002E7A52"/>
    <w:rsid w:val="002E7ECC"/>
    <w:rsid w:val="002F3C12"/>
    <w:rsid w:val="002F3D93"/>
    <w:rsid w:val="002F3EEA"/>
    <w:rsid w:val="002F4751"/>
    <w:rsid w:val="002F5626"/>
    <w:rsid w:val="002F6344"/>
    <w:rsid w:val="002F7939"/>
    <w:rsid w:val="00300198"/>
    <w:rsid w:val="00300659"/>
    <w:rsid w:val="0030098D"/>
    <w:rsid w:val="003021BC"/>
    <w:rsid w:val="003021E7"/>
    <w:rsid w:val="00302327"/>
    <w:rsid w:val="003034C5"/>
    <w:rsid w:val="003052CC"/>
    <w:rsid w:val="0030678B"/>
    <w:rsid w:val="00307E25"/>
    <w:rsid w:val="003100D9"/>
    <w:rsid w:val="00310A52"/>
    <w:rsid w:val="00316692"/>
    <w:rsid w:val="00321BC6"/>
    <w:rsid w:val="00321FFF"/>
    <w:rsid w:val="00322075"/>
    <w:rsid w:val="00322216"/>
    <w:rsid w:val="00325779"/>
    <w:rsid w:val="0032617E"/>
    <w:rsid w:val="003261C6"/>
    <w:rsid w:val="00327C6E"/>
    <w:rsid w:val="00337402"/>
    <w:rsid w:val="00337D05"/>
    <w:rsid w:val="0034402E"/>
    <w:rsid w:val="00347561"/>
    <w:rsid w:val="0035157C"/>
    <w:rsid w:val="00351E4A"/>
    <w:rsid w:val="003529B2"/>
    <w:rsid w:val="00354B07"/>
    <w:rsid w:val="0035620F"/>
    <w:rsid w:val="00361164"/>
    <w:rsid w:val="00363478"/>
    <w:rsid w:val="00363B0C"/>
    <w:rsid w:val="0036583A"/>
    <w:rsid w:val="00371A31"/>
    <w:rsid w:val="00372823"/>
    <w:rsid w:val="00373C8C"/>
    <w:rsid w:val="00373E13"/>
    <w:rsid w:val="003741C8"/>
    <w:rsid w:val="003758E9"/>
    <w:rsid w:val="00375E02"/>
    <w:rsid w:val="0037629E"/>
    <w:rsid w:val="00377406"/>
    <w:rsid w:val="003776A1"/>
    <w:rsid w:val="00382AA8"/>
    <w:rsid w:val="00384825"/>
    <w:rsid w:val="00385FD3"/>
    <w:rsid w:val="0038676B"/>
    <w:rsid w:val="00390FE1"/>
    <w:rsid w:val="00392D63"/>
    <w:rsid w:val="0039364E"/>
    <w:rsid w:val="00394661"/>
    <w:rsid w:val="003A06F0"/>
    <w:rsid w:val="003A076B"/>
    <w:rsid w:val="003A1992"/>
    <w:rsid w:val="003B0D00"/>
    <w:rsid w:val="003B2AB9"/>
    <w:rsid w:val="003B3A9E"/>
    <w:rsid w:val="003B4288"/>
    <w:rsid w:val="003C043E"/>
    <w:rsid w:val="003C0985"/>
    <w:rsid w:val="003C3F05"/>
    <w:rsid w:val="003C4A76"/>
    <w:rsid w:val="003C518B"/>
    <w:rsid w:val="003C527A"/>
    <w:rsid w:val="003C5855"/>
    <w:rsid w:val="003D0532"/>
    <w:rsid w:val="003D23DE"/>
    <w:rsid w:val="003D368A"/>
    <w:rsid w:val="003D443D"/>
    <w:rsid w:val="003D50FA"/>
    <w:rsid w:val="003D6061"/>
    <w:rsid w:val="003E1F0B"/>
    <w:rsid w:val="003E425C"/>
    <w:rsid w:val="003E5F28"/>
    <w:rsid w:val="003E7428"/>
    <w:rsid w:val="003F0741"/>
    <w:rsid w:val="003F18CB"/>
    <w:rsid w:val="003F1BA5"/>
    <w:rsid w:val="003F2C1B"/>
    <w:rsid w:val="003F2E3F"/>
    <w:rsid w:val="003F3DDE"/>
    <w:rsid w:val="003F43C9"/>
    <w:rsid w:val="003F66AB"/>
    <w:rsid w:val="003F6916"/>
    <w:rsid w:val="003F7D80"/>
    <w:rsid w:val="0040069D"/>
    <w:rsid w:val="00401E9C"/>
    <w:rsid w:val="00402399"/>
    <w:rsid w:val="0040455E"/>
    <w:rsid w:val="00404D0A"/>
    <w:rsid w:val="00407E4D"/>
    <w:rsid w:val="004105FA"/>
    <w:rsid w:val="00411565"/>
    <w:rsid w:val="00411C9F"/>
    <w:rsid w:val="0041204E"/>
    <w:rsid w:val="0041534B"/>
    <w:rsid w:val="0042048C"/>
    <w:rsid w:val="00420EFD"/>
    <w:rsid w:val="00423AF2"/>
    <w:rsid w:val="00424F72"/>
    <w:rsid w:val="004258AC"/>
    <w:rsid w:val="00426667"/>
    <w:rsid w:val="004270F6"/>
    <w:rsid w:val="00427178"/>
    <w:rsid w:val="00430843"/>
    <w:rsid w:val="00431273"/>
    <w:rsid w:val="004315B3"/>
    <w:rsid w:val="004320AF"/>
    <w:rsid w:val="00436C04"/>
    <w:rsid w:val="00442314"/>
    <w:rsid w:val="00443CB1"/>
    <w:rsid w:val="0044610D"/>
    <w:rsid w:val="00446BFA"/>
    <w:rsid w:val="00451850"/>
    <w:rsid w:val="00451C94"/>
    <w:rsid w:val="00452E42"/>
    <w:rsid w:val="00453BC9"/>
    <w:rsid w:val="0045454B"/>
    <w:rsid w:val="004558E7"/>
    <w:rsid w:val="00455C79"/>
    <w:rsid w:val="00456E59"/>
    <w:rsid w:val="00457A43"/>
    <w:rsid w:val="00457F77"/>
    <w:rsid w:val="00460DC6"/>
    <w:rsid w:val="00461662"/>
    <w:rsid w:val="00461F05"/>
    <w:rsid w:val="004646A8"/>
    <w:rsid w:val="0046516E"/>
    <w:rsid w:val="004664C8"/>
    <w:rsid w:val="0046757D"/>
    <w:rsid w:val="00467DE0"/>
    <w:rsid w:val="00471EB2"/>
    <w:rsid w:val="00472F52"/>
    <w:rsid w:val="00473778"/>
    <w:rsid w:val="00474D1B"/>
    <w:rsid w:val="0047666A"/>
    <w:rsid w:val="004804B3"/>
    <w:rsid w:val="004812A6"/>
    <w:rsid w:val="00481FAF"/>
    <w:rsid w:val="00483E8A"/>
    <w:rsid w:val="004859FA"/>
    <w:rsid w:val="00490189"/>
    <w:rsid w:val="004906AA"/>
    <w:rsid w:val="00494834"/>
    <w:rsid w:val="00496132"/>
    <w:rsid w:val="004A06EC"/>
    <w:rsid w:val="004A0857"/>
    <w:rsid w:val="004A796F"/>
    <w:rsid w:val="004B3E39"/>
    <w:rsid w:val="004B4CFE"/>
    <w:rsid w:val="004B5D90"/>
    <w:rsid w:val="004B76CE"/>
    <w:rsid w:val="004B7AE7"/>
    <w:rsid w:val="004C067F"/>
    <w:rsid w:val="004C1B0D"/>
    <w:rsid w:val="004C1B0E"/>
    <w:rsid w:val="004C1E15"/>
    <w:rsid w:val="004C6C0B"/>
    <w:rsid w:val="004C7C08"/>
    <w:rsid w:val="004D01C7"/>
    <w:rsid w:val="004D1443"/>
    <w:rsid w:val="004D1EDC"/>
    <w:rsid w:val="004D3382"/>
    <w:rsid w:val="004D33CF"/>
    <w:rsid w:val="004D34F5"/>
    <w:rsid w:val="004D3FF3"/>
    <w:rsid w:val="004D574F"/>
    <w:rsid w:val="004D5C9D"/>
    <w:rsid w:val="004D6A69"/>
    <w:rsid w:val="004D7405"/>
    <w:rsid w:val="004D7CA7"/>
    <w:rsid w:val="004E4033"/>
    <w:rsid w:val="004E4EE7"/>
    <w:rsid w:val="004F1375"/>
    <w:rsid w:val="004F2F12"/>
    <w:rsid w:val="004F3217"/>
    <w:rsid w:val="004F6A20"/>
    <w:rsid w:val="004F6FC8"/>
    <w:rsid w:val="00501242"/>
    <w:rsid w:val="0050217A"/>
    <w:rsid w:val="00502F71"/>
    <w:rsid w:val="00503476"/>
    <w:rsid w:val="00504BB9"/>
    <w:rsid w:val="00505CF6"/>
    <w:rsid w:val="00510175"/>
    <w:rsid w:val="005134DC"/>
    <w:rsid w:val="0051516F"/>
    <w:rsid w:val="005159E6"/>
    <w:rsid w:val="005167D9"/>
    <w:rsid w:val="00516B38"/>
    <w:rsid w:val="00521A2C"/>
    <w:rsid w:val="005224A8"/>
    <w:rsid w:val="00522D63"/>
    <w:rsid w:val="00522E7A"/>
    <w:rsid w:val="00523CAF"/>
    <w:rsid w:val="0052544F"/>
    <w:rsid w:val="00526E36"/>
    <w:rsid w:val="00526F24"/>
    <w:rsid w:val="00527332"/>
    <w:rsid w:val="00533031"/>
    <w:rsid w:val="005341EA"/>
    <w:rsid w:val="0054068A"/>
    <w:rsid w:val="00542C51"/>
    <w:rsid w:val="00543732"/>
    <w:rsid w:val="00543EFB"/>
    <w:rsid w:val="00544E62"/>
    <w:rsid w:val="0054630D"/>
    <w:rsid w:val="00546757"/>
    <w:rsid w:val="00546D4B"/>
    <w:rsid w:val="005471FF"/>
    <w:rsid w:val="00550748"/>
    <w:rsid w:val="00552056"/>
    <w:rsid w:val="005523BA"/>
    <w:rsid w:val="005535C9"/>
    <w:rsid w:val="005566FB"/>
    <w:rsid w:val="00556729"/>
    <w:rsid w:val="0056352A"/>
    <w:rsid w:val="00565C66"/>
    <w:rsid w:val="00565CB8"/>
    <w:rsid w:val="00567B12"/>
    <w:rsid w:val="005728A8"/>
    <w:rsid w:val="00572EBD"/>
    <w:rsid w:val="0058148E"/>
    <w:rsid w:val="005848CB"/>
    <w:rsid w:val="005848E2"/>
    <w:rsid w:val="00584C2E"/>
    <w:rsid w:val="005850F6"/>
    <w:rsid w:val="00596ADD"/>
    <w:rsid w:val="005A0D20"/>
    <w:rsid w:val="005A3062"/>
    <w:rsid w:val="005A3884"/>
    <w:rsid w:val="005A6CE5"/>
    <w:rsid w:val="005B33B6"/>
    <w:rsid w:val="005B3CEB"/>
    <w:rsid w:val="005B3FBA"/>
    <w:rsid w:val="005B590E"/>
    <w:rsid w:val="005C14CC"/>
    <w:rsid w:val="005C2687"/>
    <w:rsid w:val="005C3D88"/>
    <w:rsid w:val="005C5A8B"/>
    <w:rsid w:val="005C7767"/>
    <w:rsid w:val="005D14B4"/>
    <w:rsid w:val="005D26DD"/>
    <w:rsid w:val="005D27C3"/>
    <w:rsid w:val="005D2D66"/>
    <w:rsid w:val="005D4442"/>
    <w:rsid w:val="005D59E4"/>
    <w:rsid w:val="005E1EC9"/>
    <w:rsid w:val="005E3802"/>
    <w:rsid w:val="005E3911"/>
    <w:rsid w:val="005E3A60"/>
    <w:rsid w:val="005E5103"/>
    <w:rsid w:val="005F00CD"/>
    <w:rsid w:val="005F0AC4"/>
    <w:rsid w:val="005F1FAB"/>
    <w:rsid w:val="005F28A0"/>
    <w:rsid w:val="005F2AC2"/>
    <w:rsid w:val="005F7490"/>
    <w:rsid w:val="00601512"/>
    <w:rsid w:val="00604F54"/>
    <w:rsid w:val="00607C9B"/>
    <w:rsid w:val="0061017E"/>
    <w:rsid w:val="00614B2F"/>
    <w:rsid w:val="00614BCF"/>
    <w:rsid w:val="00615EBF"/>
    <w:rsid w:val="00616414"/>
    <w:rsid w:val="00616C2D"/>
    <w:rsid w:val="006234C5"/>
    <w:rsid w:val="006266F3"/>
    <w:rsid w:val="00627A41"/>
    <w:rsid w:val="0063017B"/>
    <w:rsid w:val="00630C11"/>
    <w:rsid w:val="0063241D"/>
    <w:rsid w:val="00633D03"/>
    <w:rsid w:val="00634D1F"/>
    <w:rsid w:val="00641633"/>
    <w:rsid w:val="0064438D"/>
    <w:rsid w:val="0064550C"/>
    <w:rsid w:val="00645C9D"/>
    <w:rsid w:val="00651381"/>
    <w:rsid w:val="00651951"/>
    <w:rsid w:val="00652BDD"/>
    <w:rsid w:val="00652FF5"/>
    <w:rsid w:val="00654F53"/>
    <w:rsid w:val="006550DB"/>
    <w:rsid w:val="00655828"/>
    <w:rsid w:val="00656037"/>
    <w:rsid w:val="00656ED5"/>
    <w:rsid w:val="006601BB"/>
    <w:rsid w:val="0066076A"/>
    <w:rsid w:val="006611D5"/>
    <w:rsid w:val="00664B59"/>
    <w:rsid w:val="00666557"/>
    <w:rsid w:val="006675C8"/>
    <w:rsid w:val="00667673"/>
    <w:rsid w:val="0067057C"/>
    <w:rsid w:val="006711C1"/>
    <w:rsid w:val="00671F51"/>
    <w:rsid w:val="006725BF"/>
    <w:rsid w:val="0067281F"/>
    <w:rsid w:val="00672B1B"/>
    <w:rsid w:val="0067631E"/>
    <w:rsid w:val="00676D7B"/>
    <w:rsid w:val="00677CE8"/>
    <w:rsid w:val="00680D57"/>
    <w:rsid w:val="00681178"/>
    <w:rsid w:val="00682695"/>
    <w:rsid w:val="00686328"/>
    <w:rsid w:val="00690F03"/>
    <w:rsid w:val="00690F5D"/>
    <w:rsid w:val="00692F59"/>
    <w:rsid w:val="00693BF7"/>
    <w:rsid w:val="006976A8"/>
    <w:rsid w:val="00697745"/>
    <w:rsid w:val="006977CF"/>
    <w:rsid w:val="006A0658"/>
    <w:rsid w:val="006A1EA7"/>
    <w:rsid w:val="006A2814"/>
    <w:rsid w:val="006A3503"/>
    <w:rsid w:val="006A55D2"/>
    <w:rsid w:val="006A5705"/>
    <w:rsid w:val="006A578B"/>
    <w:rsid w:val="006B0E24"/>
    <w:rsid w:val="006B1DFB"/>
    <w:rsid w:val="006B4100"/>
    <w:rsid w:val="006B4EB7"/>
    <w:rsid w:val="006B648E"/>
    <w:rsid w:val="006B70FA"/>
    <w:rsid w:val="006C132C"/>
    <w:rsid w:val="006C254C"/>
    <w:rsid w:val="006C3BB0"/>
    <w:rsid w:val="006C4368"/>
    <w:rsid w:val="006C54B5"/>
    <w:rsid w:val="006D0623"/>
    <w:rsid w:val="006D0DA7"/>
    <w:rsid w:val="006D2423"/>
    <w:rsid w:val="006D3471"/>
    <w:rsid w:val="006D4616"/>
    <w:rsid w:val="006D51D2"/>
    <w:rsid w:val="006E134E"/>
    <w:rsid w:val="006E3F38"/>
    <w:rsid w:val="006E4D32"/>
    <w:rsid w:val="006E4E05"/>
    <w:rsid w:val="006E4E52"/>
    <w:rsid w:val="006E652B"/>
    <w:rsid w:val="006E6BE4"/>
    <w:rsid w:val="006E6E54"/>
    <w:rsid w:val="006E6F3A"/>
    <w:rsid w:val="006F05F9"/>
    <w:rsid w:val="006F0DCB"/>
    <w:rsid w:val="006F5255"/>
    <w:rsid w:val="006F59A8"/>
    <w:rsid w:val="006F6126"/>
    <w:rsid w:val="006F6850"/>
    <w:rsid w:val="006F70E1"/>
    <w:rsid w:val="007004F7"/>
    <w:rsid w:val="00703366"/>
    <w:rsid w:val="0070438F"/>
    <w:rsid w:val="00704A4E"/>
    <w:rsid w:val="007073AC"/>
    <w:rsid w:val="00707720"/>
    <w:rsid w:val="00707FB4"/>
    <w:rsid w:val="007105C7"/>
    <w:rsid w:val="00712FF0"/>
    <w:rsid w:val="0071472C"/>
    <w:rsid w:val="00716020"/>
    <w:rsid w:val="00716CFF"/>
    <w:rsid w:val="00717475"/>
    <w:rsid w:val="00717865"/>
    <w:rsid w:val="007213AF"/>
    <w:rsid w:val="00722C69"/>
    <w:rsid w:val="007241FB"/>
    <w:rsid w:val="0072739A"/>
    <w:rsid w:val="0072793C"/>
    <w:rsid w:val="00733DEA"/>
    <w:rsid w:val="007343C6"/>
    <w:rsid w:val="00736DA8"/>
    <w:rsid w:val="0074040D"/>
    <w:rsid w:val="00742A99"/>
    <w:rsid w:val="00742CB5"/>
    <w:rsid w:val="00746492"/>
    <w:rsid w:val="00746615"/>
    <w:rsid w:val="00746814"/>
    <w:rsid w:val="007471B8"/>
    <w:rsid w:val="0074772F"/>
    <w:rsid w:val="00747D98"/>
    <w:rsid w:val="00754FAC"/>
    <w:rsid w:val="00755840"/>
    <w:rsid w:val="00760CAF"/>
    <w:rsid w:val="00761C7A"/>
    <w:rsid w:val="00762606"/>
    <w:rsid w:val="00762774"/>
    <w:rsid w:val="00762D20"/>
    <w:rsid w:val="007636CA"/>
    <w:rsid w:val="00764901"/>
    <w:rsid w:val="007671DF"/>
    <w:rsid w:val="00770304"/>
    <w:rsid w:val="007707A9"/>
    <w:rsid w:val="0077150D"/>
    <w:rsid w:val="00772053"/>
    <w:rsid w:val="0077256A"/>
    <w:rsid w:val="00773BDD"/>
    <w:rsid w:val="0078135B"/>
    <w:rsid w:val="00782A58"/>
    <w:rsid w:val="00784B04"/>
    <w:rsid w:val="00785158"/>
    <w:rsid w:val="00785462"/>
    <w:rsid w:val="007865F4"/>
    <w:rsid w:val="00787D81"/>
    <w:rsid w:val="00797186"/>
    <w:rsid w:val="007978EC"/>
    <w:rsid w:val="007A04E0"/>
    <w:rsid w:val="007A310C"/>
    <w:rsid w:val="007A4072"/>
    <w:rsid w:val="007A5A50"/>
    <w:rsid w:val="007A5CC4"/>
    <w:rsid w:val="007B0F6A"/>
    <w:rsid w:val="007B1211"/>
    <w:rsid w:val="007B229D"/>
    <w:rsid w:val="007B27D5"/>
    <w:rsid w:val="007B3FF7"/>
    <w:rsid w:val="007C1159"/>
    <w:rsid w:val="007C14DF"/>
    <w:rsid w:val="007C1B41"/>
    <w:rsid w:val="007C2158"/>
    <w:rsid w:val="007C3089"/>
    <w:rsid w:val="007C32D4"/>
    <w:rsid w:val="007C3A4F"/>
    <w:rsid w:val="007C4D65"/>
    <w:rsid w:val="007C5671"/>
    <w:rsid w:val="007C5798"/>
    <w:rsid w:val="007C6DAF"/>
    <w:rsid w:val="007D0648"/>
    <w:rsid w:val="007D466B"/>
    <w:rsid w:val="007E2F3E"/>
    <w:rsid w:val="007E31B6"/>
    <w:rsid w:val="007E43ED"/>
    <w:rsid w:val="007E4E04"/>
    <w:rsid w:val="007F2387"/>
    <w:rsid w:val="007F26AE"/>
    <w:rsid w:val="007F2B87"/>
    <w:rsid w:val="007F4230"/>
    <w:rsid w:val="007F4ED2"/>
    <w:rsid w:val="007F5D65"/>
    <w:rsid w:val="007F5EA4"/>
    <w:rsid w:val="007F780B"/>
    <w:rsid w:val="007F7A04"/>
    <w:rsid w:val="00800FA0"/>
    <w:rsid w:val="00804B90"/>
    <w:rsid w:val="0080580D"/>
    <w:rsid w:val="0080796F"/>
    <w:rsid w:val="00811741"/>
    <w:rsid w:val="008124B2"/>
    <w:rsid w:val="00812619"/>
    <w:rsid w:val="0082023B"/>
    <w:rsid w:val="0082040D"/>
    <w:rsid w:val="00820997"/>
    <w:rsid w:val="00820E6C"/>
    <w:rsid w:val="0082320C"/>
    <w:rsid w:val="00826E35"/>
    <w:rsid w:val="00827526"/>
    <w:rsid w:val="00827AB1"/>
    <w:rsid w:val="0083101E"/>
    <w:rsid w:val="00831C17"/>
    <w:rsid w:val="00834F27"/>
    <w:rsid w:val="00835C9A"/>
    <w:rsid w:val="00835DF7"/>
    <w:rsid w:val="0084107C"/>
    <w:rsid w:val="0084344A"/>
    <w:rsid w:val="00845571"/>
    <w:rsid w:val="00845609"/>
    <w:rsid w:val="008461B5"/>
    <w:rsid w:val="0084622C"/>
    <w:rsid w:val="00846E86"/>
    <w:rsid w:val="008503B6"/>
    <w:rsid w:val="008532A5"/>
    <w:rsid w:val="00855044"/>
    <w:rsid w:val="00855371"/>
    <w:rsid w:val="0085626B"/>
    <w:rsid w:val="008607B9"/>
    <w:rsid w:val="008612B7"/>
    <w:rsid w:val="00863291"/>
    <w:rsid w:val="00865ECB"/>
    <w:rsid w:val="008672A3"/>
    <w:rsid w:val="008703E5"/>
    <w:rsid w:val="00870643"/>
    <w:rsid w:val="00871F28"/>
    <w:rsid w:val="00872953"/>
    <w:rsid w:val="00873EF6"/>
    <w:rsid w:val="008778BB"/>
    <w:rsid w:val="00877E1D"/>
    <w:rsid w:val="00882AC5"/>
    <w:rsid w:val="00883E71"/>
    <w:rsid w:val="00885C79"/>
    <w:rsid w:val="00885D15"/>
    <w:rsid w:val="00886BEE"/>
    <w:rsid w:val="0089194A"/>
    <w:rsid w:val="00892496"/>
    <w:rsid w:val="00896630"/>
    <w:rsid w:val="008A4796"/>
    <w:rsid w:val="008A5039"/>
    <w:rsid w:val="008A6355"/>
    <w:rsid w:val="008A6E8E"/>
    <w:rsid w:val="008B0A0B"/>
    <w:rsid w:val="008B2632"/>
    <w:rsid w:val="008B2DD8"/>
    <w:rsid w:val="008B43FB"/>
    <w:rsid w:val="008B466A"/>
    <w:rsid w:val="008B7B4D"/>
    <w:rsid w:val="008B7E29"/>
    <w:rsid w:val="008C03E7"/>
    <w:rsid w:val="008C58CB"/>
    <w:rsid w:val="008C7CD3"/>
    <w:rsid w:val="008D1132"/>
    <w:rsid w:val="008D15CD"/>
    <w:rsid w:val="008E1BE1"/>
    <w:rsid w:val="008E239D"/>
    <w:rsid w:val="008E3A70"/>
    <w:rsid w:val="008E46D2"/>
    <w:rsid w:val="008F1095"/>
    <w:rsid w:val="008F137C"/>
    <w:rsid w:val="008F1850"/>
    <w:rsid w:val="008F1A00"/>
    <w:rsid w:val="008F2FA4"/>
    <w:rsid w:val="008F314B"/>
    <w:rsid w:val="008F3BA5"/>
    <w:rsid w:val="008F469E"/>
    <w:rsid w:val="008F4F37"/>
    <w:rsid w:val="008F5B45"/>
    <w:rsid w:val="008F6928"/>
    <w:rsid w:val="008F78AF"/>
    <w:rsid w:val="008F7B69"/>
    <w:rsid w:val="009007C2"/>
    <w:rsid w:val="009028F2"/>
    <w:rsid w:val="009036B8"/>
    <w:rsid w:val="00903778"/>
    <w:rsid w:val="009051BF"/>
    <w:rsid w:val="0090633F"/>
    <w:rsid w:val="0091123B"/>
    <w:rsid w:val="009138DB"/>
    <w:rsid w:val="00913ECC"/>
    <w:rsid w:val="009167E1"/>
    <w:rsid w:val="00921253"/>
    <w:rsid w:val="00922828"/>
    <w:rsid w:val="00924578"/>
    <w:rsid w:val="00924F5E"/>
    <w:rsid w:val="00927795"/>
    <w:rsid w:val="00931782"/>
    <w:rsid w:val="00931AFA"/>
    <w:rsid w:val="0093550E"/>
    <w:rsid w:val="009378C7"/>
    <w:rsid w:val="009378E1"/>
    <w:rsid w:val="00943F5B"/>
    <w:rsid w:val="00944048"/>
    <w:rsid w:val="009445AE"/>
    <w:rsid w:val="00944C4D"/>
    <w:rsid w:val="0094702A"/>
    <w:rsid w:val="00951267"/>
    <w:rsid w:val="00951C45"/>
    <w:rsid w:val="009521A4"/>
    <w:rsid w:val="00952910"/>
    <w:rsid w:val="00953235"/>
    <w:rsid w:val="0095576F"/>
    <w:rsid w:val="00956DF2"/>
    <w:rsid w:val="0095708A"/>
    <w:rsid w:val="00960277"/>
    <w:rsid w:val="00960A8E"/>
    <w:rsid w:val="00960B62"/>
    <w:rsid w:val="00962771"/>
    <w:rsid w:val="0096526C"/>
    <w:rsid w:val="00966453"/>
    <w:rsid w:val="009711E1"/>
    <w:rsid w:val="009715FA"/>
    <w:rsid w:val="00971D19"/>
    <w:rsid w:val="009746C6"/>
    <w:rsid w:val="00975FF1"/>
    <w:rsid w:val="00980463"/>
    <w:rsid w:val="009834E4"/>
    <w:rsid w:val="00983616"/>
    <w:rsid w:val="00986005"/>
    <w:rsid w:val="00986206"/>
    <w:rsid w:val="00987274"/>
    <w:rsid w:val="00995142"/>
    <w:rsid w:val="00995194"/>
    <w:rsid w:val="00995CE6"/>
    <w:rsid w:val="0099687C"/>
    <w:rsid w:val="009A1131"/>
    <w:rsid w:val="009A1717"/>
    <w:rsid w:val="009A2779"/>
    <w:rsid w:val="009A43BB"/>
    <w:rsid w:val="009A4CB9"/>
    <w:rsid w:val="009A5D6D"/>
    <w:rsid w:val="009A6D5A"/>
    <w:rsid w:val="009B06C8"/>
    <w:rsid w:val="009B2368"/>
    <w:rsid w:val="009B2E78"/>
    <w:rsid w:val="009B3DF2"/>
    <w:rsid w:val="009B54E5"/>
    <w:rsid w:val="009B5592"/>
    <w:rsid w:val="009B5622"/>
    <w:rsid w:val="009B5CB3"/>
    <w:rsid w:val="009B7EC0"/>
    <w:rsid w:val="009C074A"/>
    <w:rsid w:val="009C3DC4"/>
    <w:rsid w:val="009C6692"/>
    <w:rsid w:val="009D0431"/>
    <w:rsid w:val="009D2A7E"/>
    <w:rsid w:val="009D476D"/>
    <w:rsid w:val="009E04DE"/>
    <w:rsid w:val="009E0704"/>
    <w:rsid w:val="009E0E62"/>
    <w:rsid w:val="009E12E2"/>
    <w:rsid w:val="009E17C6"/>
    <w:rsid w:val="009E26F8"/>
    <w:rsid w:val="009E352D"/>
    <w:rsid w:val="009E508B"/>
    <w:rsid w:val="009E68F1"/>
    <w:rsid w:val="009F0541"/>
    <w:rsid w:val="009F188E"/>
    <w:rsid w:val="009F343E"/>
    <w:rsid w:val="009F3D96"/>
    <w:rsid w:val="00A00E67"/>
    <w:rsid w:val="00A03D6A"/>
    <w:rsid w:val="00A04277"/>
    <w:rsid w:val="00A0786E"/>
    <w:rsid w:val="00A1223B"/>
    <w:rsid w:val="00A12522"/>
    <w:rsid w:val="00A139A5"/>
    <w:rsid w:val="00A149E3"/>
    <w:rsid w:val="00A15086"/>
    <w:rsid w:val="00A16605"/>
    <w:rsid w:val="00A20253"/>
    <w:rsid w:val="00A20474"/>
    <w:rsid w:val="00A2137D"/>
    <w:rsid w:val="00A2184B"/>
    <w:rsid w:val="00A22A4F"/>
    <w:rsid w:val="00A22F83"/>
    <w:rsid w:val="00A258CE"/>
    <w:rsid w:val="00A3031B"/>
    <w:rsid w:val="00A31544"/>
    <w:rsid w:val="00A33328"/>
    <w:rsid w:val="00A34CDE"/>
    <w:rsid w:val="00A3556F"/>
    <w:rsid w:val="00A4124A"/>
    <w:rsid w:val="00A44195"/>
    <w:rsid w:val="00A443B7"/>
    <w:rsid w:val="00A45B52"/>
    <w:rsid w:val="00A476EB"/>
    <w:rsid w:val="00A5088D"/>
    <w:rsid w:val="00A50A84"/>
    <w:rsid w:val="00A50BCC"/>
    <w:rsid w:val="00A5284A"/>
    <w:rsid w:val="00A539DF"/>
    <w:rsid w:val="00A53BCB"/>
    <w:rsid w:val="00A53F63"/>
    <w:rsid w:val="00A54438"/>
    <w:rsid w:val="00A554C8"/>
    <w:rsid w:val="00A56FD0"/>
    <w:rsid w:val="00A57C03"/>
    <w:rsid w:val="00A61023"/>
    <w:rsid w:val="00A62C4D"/>
    <w:rsid w:val="00A62D6E"/>
    <w:rsid w:val="00A62FB1"/>
    <w:rsid w:val="00A6368B"/>
    <w:rsid w:val="00A6543C"/>
    <w:rsid w:val="00A65D2F"/>
    <w:rsid w:val="00A66AA9"/>
    <w:rsid w:val="00A66C56"/>
    <w:rsid w:val="00A70B57"/>
    <w:rsid w:val="00A736B9"/>
    <w:rsid w:val="00A75883"/>
    <w:rsid w:val="00A75FBB"/>
    <w:rsid w:val="00A80BD7"/>
    <w:rsid w:val="00A80EAF"/>
    <w:rsid w:val="00A81F1E"/>
    <w:rsid w:val="00A82FE4"/>
    <w:rsid w:val="00A84D6D"/>
    <w:rsid w:val="00A86292"/>
    <w:rsid w:val="00A90267"/>
    <w:rsid w:val="00A92078"/>
    <w:rsid w:val="00A95BBF"/>
    <w:rsid w:val="00A962BD"/>
    <w:rsid w:val="00A96AB1"/>
    <w:rsid w:val="00AA0BF3"/>
    <w:rsid w:val="00AA12E6"/>
    <w:rsid w:val="00AA16B0"/>
    <w:rsid w:val="00AA22BF"/>
    <w:rsid w:val="00AA2682"/>
    <w:rsid w:val="00AA31C5"/>
    <w:rsid w:val="00AA37A3"/>
    <w:rsid w:val="00AA4490"/>
    <w:rsid w:val="00AA5DA6"/>
    <w:rsid w:val="00AA6282"/>
    <w:rsid w:val="00AA6361"/>
    <w:rsid w:val="00AA77EA"/>
    <w:rsid w:val="00AA7E73"/>
    <w:rsid w:val="00AA7E94"/>
    <w:rsid w:val="00AB0625"/>
    <w:rsid w:val="00AB07D0"/>
    <w:rsid w:val="00AB1504"/>
    <w:rsid w:val="00AB2478"/>
    <w:rsid w:val="00AB29DE"/>
    <w:rsid w:val="00AB5275"/>
    <w:rsid w:val="00AB7993"/>
    <w:rsid w:val="00AC1079"/>
    <w:rsid w:val="00AC13E2"/>
    <w:rsid w:val="00AC6834"/>
    <w:rsid w:val="00AC7D8B"/>
    <w:rsid w:val="00AD0BA6"/>
    <w:rsid w:val="00AD0F1E"/>
    <w:rsid w:val="00AD5BCA"/>
    <w:rsid w:val="00AE0EA0"/>
    <w:rsid w:val="00AE2431"/>
    <w:rsid w:val="00AE29EE"/>
    <w:rsid w:val="00AE3636"/>
    <w:rsid w:val="00AE480F"/>
    <w:rsid w:val="00AE5B6F"/>
    <w:rsid w:val="00AE66A8"/>
    <w:rsid w:val="00AE7B70"/>
    <w:rsid w:val="00AF01FC"/>
    <w:rsid w:val="00AF1DBF"/>
    <w:rsid w:val="00AF3215"/>
    <w:rsid w:val="00AF532E"/>
    <w:rsid w:val="00AF5E32"/>
    <w:rsid w:val="00AF6C26"/>
    <w:rsid w:val="00AF7606"/>
    <w:rsid w:val="00B03800"/>
    <w:rsid w:val="00B03DC2"/>
    <w:rsid w:val="00B04D08"/>
    <w:rsid w:val="00B05782"/>
    <w:rsid w:val="00B057F6"/>
    <w:rsid w:val="00B0597A"/>
    <w:rsid w:val="00B07904"/>
    <w:rsid w:val="00B07C3F"/>
    <w:rsid w:val="00B1115A"/>
    <w:rsid w:val="00B14A7D"/>
    <w:rsid w:val="00B150DB"/>
    <w:rsid w:val="00B15366"/>
    <w:rsid w:val="00B15FAD"/>
    <w:rsid w:val="00B1783E"/>
    <w:rsid w:val="00B20ADC"/>
    <w:rsid w:val="00B232C6"/>
    <w:rsid w:val="00B24E14"/>
    <w:rsid w:val="00B25563"/>
    <w:rsid w:val="00B2740D"/>
    <w:rsid w:val="00B3107C"/>
    <w:rsid w:val="00B32275"/>
    <w:rsid w:val="00B32371"/>
    <w:rsid w:val="00B349BB"/>
    <w:rsid w:val="00B42721"/>
    <w:rsid w:val="00B4348D"/>
    <w:rsid w:val="00B44F1A"/>
    <w:rsid w:val="00B4537A"/>
    <w:rsid w:val="00B4537E"/>
    <w:rsid w:val="00B475A3"/>
    <w:rsid w:val="00B47D49"/>
    <w:rsid w:val="00B5282F"/>
    <w:rsid w:val="00B52972"/>
    <w:rsid w:val="00B52BB9"/>
    <w:rsid w:val="00B53894"/>
    <w:rsid w:val="00B543C1"/>
    <w:rsid w:val="00B55489"/>
    <w:rsid w:val="00B55DEE"/>
    <w:rsid w:val="00B57145"/>
    <w:rsid w:val="00B62940"/>
    <w:rsid w:val="00B635F7"/>
    <w:rsid w:val="00B63785"/>
    <w:rsid w:val="00B67E8A"/>
    <w:rsid w:val="00B67FE9"/>
    <w:rsid w:val="00B7370A"/>
    <w:rsid w:val="00B737E9"/>
    <w:rsid w:val="00B73C03"/>
    <w:rsid w:val="00B75558"/>
    <w:rsid w:val="00B75F57"/>
    <w:rsid w:val="00B82087"/>
    <w:rsid w:val="00B835B9"/>
    <w:rsid w:val="00B8401A"/>
    <w:rsid w:val="00B85735"/>
    <w:rsid w:val="00B90800"/>
    <w:rsid w:val="00B9144B"/>
    <w:rsid w:val="00B92494"/>
    <w:rsid w:val="00B93010"/>
    <w:rsid w:val="00B94287"/>
    <w:rsid w:val="00B950EF"/>
    <w:rsid w:val="00B95A3F"/>
    <w:rsid w:val="00B97A3C"/>
    <w:rsid w:val="00BA4CAB"/>
    <w:rsid w:val="00BA551E"/>
    <w:rsid w:val="00BA72BD"/>
    <w:rsid w:val="00BA7C4B"/>
    <w:rsid w:val="00BB11DC"/>
    <w:rsid w:val="00BB17E2"/>
    <w:rsid w:val="00BB1A3C"/>
    <w:rsid w:val="00BB21A7"/>
    <w:rsid w:val="00BB2919"/>
    <w:rsid w:val="00BB2A37"/>
    <w:rsid w:val="00BB2B06"/>
    <w:rsid w:val="00BB32AB"/>
    <w:rsid w:val="00BB37AB"/>
    <w:rsid w:val="00BB4267"/>
    <w:rsid w:val="00BB46D6"/>
    <w:rsid w:val="00BB48DE"/>
    <w:rsid w:val="00BB4D95"/>
    <w:rsid w:val="00BB518F"/>
    <w:rsid w:val="00BB5D38"/>
    <w:rsid w:val="00BB772C"/>
    <w:rsid w:val="00BC1A9A"/>
    <w:rsid w:val="00BC2F95"/>
    <w:rsid w:val="00BC775B"/>
    <w:rsid w:val="00BD08CF"/>
    <w:rsid w:val="00BD2078"/>
    <w:rsid w:val="00BD74B4"/>
    <w:rsid w:val="00BD7634"/>
    <w:rsid w:val="00BE1039"/>
    <w:rsid w:val="00BE293E"/>
    <w:rsid w:val="00BE58E6"/>
    <w:rsid w:val="00BE5A3C"/>
    <w:rsid w:val="00BE5F5D"/>
    <w:rsid w:val="00BE7AF6"/>
    <w:rsid w:val="00BE7B63"/>
    <w:rsid w:val="00BF0017"/>
    <w:rsid w:val="00BF01BC"/>
    <w:rsid w:val="00BF03C7"/>
    <w:rsid w:val="00BF435C"/>
    <w:rsid w:val="00BF519C"/>
    <w:rsid w:val="00BF633E"/>
    <w:rsid w:val="00BF64E8"/>
    <w:rsid w:val="00BF74A0"/>
    <w:rsid w:val="00C0033B"/>
    <w:rsid w:val="00C029EB"/>
    <w:rsid w:val="00C03B6F"/>
    <w:rsid w:val="00C069DC"/>
    <w:rsid w:val="00C1095C"/>
    <w:rsid w:val="00C10AFC"/>
    <w:rsid w:val="00C15CB3"/>
    <w:rsid w:val="00C17E3A"/>
    <w:rsid w:val="00C202C8"/>
    <w:rsid w:val="00C21A39"/>
    <w:rsid w:val="00C22018"/>
    <w:rsid w:val="00C239FB"/>
    <w:rsid w:val="00C24372"/>
    <w:rsid w:val="00C24E0A"/>
    <w:rsid w:val="00C259CD"/>
    <w:rsid w:val="00C302C9"/>
    <w:rsid w:val="00C31393"/>
    <w:rsid w:val="00C36BA3"/>
    <w:rsid w:val="00C43CA7"/>
    <w:rsid w:val="00C45467"/>
    <w:rsid w:val="00C4674C"/>
    <w:rsid w:val="00C46B05"/>
    <w:rsid w:val="00C46E4F"/>
    <w:rsid w:val="00C47013"/>
    <w:rsid w:val="00C475A3"/>
    <w:rsid w:val="00C47979"/>
    <w:rsid w:val="00C515FF"/>
    <w:rsid w:val="00C522A7"/>
    <w:rsid w:val="00C53A84"/>
    <w:rsid w:val="00C563CC"/>
    <w:rsid w:val="00C5737B"/>
    <w:rsid w:val="00C602D1"/>
    <w:rsid w:val="00C6054C"/>
    <w:rsid w:val="00C650F0"/>
    <w:rsid w:val="00C65808"/>
    <w:rsid w:val="00C66079"/>
    <w:rsid w:val="00C667B7"/>
    <w:rsid w:val="00C711A8"/>
    <w:rsid w:val="00C71E64"/>
    <w:rsid w:val="00C725BE"/>
    <w:rsid w:val="00C744A3"/>
    <w:rsid w:val="00C761C2"/>
    <w:rsid w:val="00C83014"/>
    <w:rsid w:val="00C83CB7"/>
    <w:rsid w:val="00C8487D"/>
    <w:rsid w:val="00C873B9"/>
    <w:rsid w:val="00C87D30"/>
    <w:rsid w:val="00C9266B"/>
    <w:rsid w:val="00C92715"/>
    <w:rsid w:val="00C92872"/>
    <w:rsid w:val="00C92F7E"/>
    <w:rsid w:val="00C95E69"/>
    <w:rsid w:val="00C97DC8"/>
    <w:rsid w:val="00CA4649"/>
    <w:rsid w:val="00CA48F9"/>
    <w:rsid w:val="00CA5A12"/>
    <w:rsid w:val="00CA73CF"/>
    <w:rsid w:val="00CA7AC7"/>
    <w:rsid w:val="00CB0643"/>
    <w:rsid w:val="00CB20B7"/>
    <w:rsid w:val="00CB477F"/>
    <w:rsid w:val="00CB75F5"/>
    <w:rsid w:val="00CB7A4E"/>
    <w:rsid w:val="00CC0128"/>
    <w:rsid w:val="00CC0542"/>
    <w:rsid w:val="00CC2359"/>
    <w:rsid w:val="00CC2C25"/>
    <w:rsid w:val="00CC30C3"/>
    <w:rsid w:val="00CC3324"/>
    <w:rsid w:val="00CC4486"/>
    <w:rsid w:val="00CC60BA"/>
    <w:rsid w:val="00CD1B69"/>
    <w:rsid w:val="00CD2F2B"/>
    <w:rsid w:val="00CD3C3D"/>
    <w:rsid w:val="00CD4067"/>
    <w:rsid w:val="00CD504E"/>
    <w:rsid w:val="00CD50B8"/>
    <w:rsid w:val="00CD6458"/>
    <w:rsid w:val="00CD7AE9"/>
    <w:rsid w:val="00CE0197"/>
    <w:rsid w:val="00CE0E89"/>
    <w:rsid w:val="00CE3272"/>
    <w:rsid w:val="00CE33EB"/>
    <w:rsid w:val="00CE5296"/>
    <w:rsid w:val="00CE5959"/>
    <w:rsid w:val="00CF001B"/>
    <w:rsid w:val="00CF0BD7"/>
    <w:rsid w:val="00CF437B"/>
    <w:rsid w:val="00CF4752"/>
    <w:rsid w:val="00CF7E31"/>
    <w:rsid w:val="00D00E35"/>
    <w:rsid w:val="00D02B75"/>
    <w:rsid w:val="00D03588"/>
    <w:rsid w:val="00D039C3"/>
    <w:rsid w:val="00D0400E"/>
    <w:rsid w:val="00D04B37"/>
    <w:rsid w:val="00D05BC3"/>
    <w:rsid w:val="00D10469"/>
    <w:rsid w:val="00D10A3B"/>
    <w:rsid w:val="00D10B12"/>
    <w:rsid w:val="00D114AB"/>
    <w:rsid w:val="00D115C5"/>
    <w:rsid w:val="00D11980"/>
    <w:rsid w:val="00D13AF3"/>
    <w:rsid w:val="00D1422D"/>
    <w:rsid w:val="00D1583D"/>
    <w:rsid w:val="00D17A12"/>
    <w:rsid w:val="00D17C89"/>
    <w:rsid w:val="00D17CB0"/>
    <w:rsid w:val="00D222CA"/>
    <w:rsid w:val="00D231B5"/>
    <w:rsid w:val="00D23A3A"/>
    <w:rsid w:val="00D30BB4"/>
    <w:rsid w:val="00D3206B"/>
    <w:rsid w:val="00D32641"/>
    <w:rsid w:val="00D32FAE"/>
    <w:rsid w:val="00D337D0"/>
    <w:rsid w:val="00D338E0"/>
    <w:rsid w:val="00D35D54"/>
    <w:rsid w:val="00D364B8"/>
    <w:rsid w:val="00D40510"/>
    <w:rsid w:val="00D41891"/>
    <w:rsid w:val="00D427EE"/>
    <w:rsid w:val="00D42A58"/>
    <w:rsid w:val="00D43B43"/>
    <w:rsid w:val="00D44CBF"/>
    <w:rsid w:val="00D454A7"/>
    <w:rsid w:val="00D45C4F"/>
    <w:rsid w:val="00D4732E"/>
    <w:rsid w:val="00D527DE"/>
    <w:rsid w:val="00D53B70"/>
    <w:rsid w:val="00D54386"/>
    <w:rsid w:val="00D56055"/>
    <w:rsid w:val="00D5655A"/>
    <w:rsid w:val="00D56F83"/>
    <w:rsid w:val="00D60CDB"/>
    <w:rsid w:val="00D61955"/>
    <w:rsid w:val="00D61F81"/>
    <w:rsid w:val="00D661E6"/>
    <w:rsid w:val="00D66D36"/>
    <w:rsid w:val="00D67EE2"/>
    <w:rsid w:val="00D718DA"/>
    <w:rsid w:val="00D72237"/>
    <w:rsid w:val="00D74992"/>
    <w:rsid w:val="00D74A95"/>
    <w:rsid w:val="00D7546C"/>
    <w:rsid w:val="00D828C1"/>
    <w:rsid w:val="00D87F00"/>
    <w:rsid w:val="00D9009F"/>
    <w:rsid w:val="00D9212A"/>
    <w:rsid w:val="00D93970"/>
    <w:rsid w:val="00D94398"/>
    <w:rsid w:val="00D95494"/>
    <w:rsid w:val="00DA0DCE"/>
    <w:rsid w:val="00DA128B"/>
    <w:rsid w:val="00DA1AEE"/>
    <w:rsid w:val="00DA2425"/>
    <w:rsid w:val="00DA2453"/>
    <w:rsid w:val="00DA271F"/>
    <w:rsid w:val="00DA3156"/>
    <w:rsid w:val="00DA6834"/>
    <w:rsid w:val="00DA6E1C"/>
    <w:rsid w:val="00DB1297"/>
    <w:rsid w:val="00DB3C84"/>
    <w:rsid w:val="00DB597E"/>
    <w:rsid w:val="00DB6980"/>
    <w:rsid w:val="00DB76C6"/>
    <w:rsid w:val="00DC04B0"/>
    <w:rsid w:val="00DC26B4"/>
    <w:rsid w:val="00DC2E01"/>
    <w:rsid w:val="00DC5D01"/>
    <w:rsid w:val="00DC7039"/>
    <w:rsid w:val="00DC78C9"/>
    <w:rsid w:val="00DD175F"/>
    <w:rsid w:val="00DD191F"/>
    <w:rsid w:val="00DD38CF"/>
    <w:rsid w:val="00DD3BEA"/>
    <w:rsid w:val="00DD6721"/>
    <w:rsid w:val="00DD74FA"/>
    <w:rsid w:val="00DE15F0"/>
    <w:rsid w:val="00DE2DAC"/>
    <w:rsid w:val="00DE7C26"/>
    <w:rsid w:val="00DF028F"/>
    <w:rsid w:val="00DF13E1"/>
    <w:rsid w:val="00DF220B"/>
    <w:rsid w:val="00DF2538"/>
    <w:rsid w:val="00DF6B3B"/>
    <w:rsid w:val="00DF71A8"/>
    <w:rsid w:val="00DF73E0"/>
    <w:rsid w:val="00E003DB"/>
    <w:rsid w:val="00E00A01"/>
    <w:rsid w:val="00E00D46"/>
    <w:rsid w:val="00E022A5"/>
    <w:rsid w:val="00E023A8"/>
    <w:rsid w:val="00E035DB"/>
    <w:rsid w:val="00E042B9"/>
    <w:rsid w:val="00E04402"/>
    <w:rsid w:val="00E0511B"/>
    <w:rsid w:val="00E10BB8"/>
    <w:rsid w:val="00E130EB"/>
    <w:rsid w:val="00E13CC8"/>
    <w:rsid w:val="00E147B1"/>
    <w:rsid w:val="00E17047"/>
    <w:rsid w:val="00E17A46"/>
    <w:rsid w:val="00E20468"/>
    <w:rsid w:val="00E2160B"/>
    <w:rsid w:val="00E218CC"/>
    <w:rsid w:val="00E22692"/>
    <w:rsid w:val="00E256C0"/>
    <w:rsid w:val="00E2654E"/>
    <w:rsid w:val="00E2667C"/>
    <w:rsid w:val="00E26DC3"/>
    <w:rsid w:val="00E3127A"/>
    <w:rsid w:val="00E32217"/>
    <w:rsid w:val="00E3485C"/>
    <w:rsid w:val="00E34FEF"/>
    <w:rsid w:val="00E35FEC"/>
    <w:rsid w:val="00E36CFF"/>
    <w:rsid w:val="00E379E8"/>
    <w:rsid w:val="00E43D15"/>
    <w:rsid w:val="00E458D3"/>
    <w:rsid w:val="00E4607B"/>
    <w:rsid w:val="00E463FC"/>
    <w:rsid w:val="00E47572"/>
    <w:rsid w:val="00E533AD"/>
    <w:rsid w:val="00E541AB"/>
    <w:rsid w:val="00E54E75"/>
    <w:rsid w:val="00E60852"/>
    <w:rsid w:val="00E60CA4"/>
    <w:rsid w:val="00E61AC7"/>
    <w:rsid w:val="00E62234"/>
    <w:rsid w:val="00E629BD"/>
    <w:rsid w:val="00E6521C"/>
    <w:rsid w:val="00E65508"/>
    <w:rsid w:val="00E6551F"/>
    <w:rsid w:val="00E65817"/>
    <w:rsid w:val="00E663E0"/>
    <w:rsid w:val="00E673FE"/>
    <w:rsid w:val="00E67BE8"/>
    <w:rsid w:val="00E70208"/>
    <w:rsid w:val="00E70840"/>
    <w:rsid w:val="00E713EC"/>
    <w:rsid w:val="00E7229A"/>
    <w:rsid w:val="00E73396"/>
    <w:rsid w:val="00E737CE"/>
    <w:rsid w:val="00E73F80"/>
    <w:rsid w:val="00E74016"/>
    <w:rsid w:val="00E74CDF"/>
    <w:rsid w:val="00E75A57"/>
    <w:rsid w:val="00E767EB"/>
    <w:rsid w:val="00E76C65"/>
    <w:rsid w:val="00E84DAA"/>
    <w:rsid w:val="00E85E31"/>
    <w:rsid w:val="00E87EEF"/>
    <w:rsid w:val="00E9148F"/>
    <w:rsid w:val="00E91D86"/>
    <w:rsid w:val="00E9248F"/>
    <w:rsid w:val="00E962D5"/>
    <w:rsid w:val="00E964D8"/>
    <w:rsid w:val="00E97166"/>
    <w:rsid w:val="00EA0DBC"/>
    <w:rsid w:val="00EA310C"/>
    <w:rsid w:val="00EA5708"/>
    <w:rsid w:val="00EB043D"/>
    <w:rsid w:val="00EB277B"/>
    <w:rsid w:val="00EB28BF"/>
    <w:rsid w:val="00EB33E4"/>
    <w:rsid w:val="00EB3918"/>
    <w:rsid w:val="00EB4132"/>
    <w:rsid w:val="00EC0336"/>
    <w:rsid w:val="00EC3A43"/>
    <w:rsid w:val="00EC46A0"/>
    <w:rsid w:val="00EC5E2C"/>
    <w:rsid w:val="00EC73CA"/>
    <w:rsid w:val="00ED0975"/>
    <w:rsid w:val="00ED41F2"/>
    <w:rsid w:val="00EE5ABB"/>
    <w:rsid w:val="00EF1F40"/>
    <w:rsid w:val="00EF25F2"/>
    <w:rsid w:val="00EF2754"/>
    <w:rsid w:val="00EF47A7"/>
    <w:rsid w:val="00EF63F1"/>
    <w:rsid w:val="00EF6DE0"/>
    <w:rsid w:val="00F00EEC"/>
    <w:rsid w:val="00F01B14"/>
    <w:rsid w:val="00F029BB"/>
    <w:rsid w:val="00F0434B"/>
    <w:rsid w:val="00F077F5"/>
    <w:rsid w:val="00F1077E"/>
    <w:rsid w:val="00F112F9"/>
    <w:rsid w:val="00F1147A"/>
    <w:rsid w:val="00F1168A"/>
    <w:rsid w:val="00F13444"/>
    <w:rsid w:val="00F1356E"/>
    <w:rsid w:val="00F15AD6"/>
    <w:rsid w:val="00F177D5"/>
    <w:rsid w:val="00F218EA"/>
    <w:rsid w:val="00F21EF1"/>
    <w:rsid w:val="00F22261"/>
    <w:rsid w:val="00F239A6"/>
    <w:rsid w:val="00F258FB"/>
    <w:rsid w:val="00F25C45"/>
    <w:rsid w:val="00F26620"/>
    <w:rsid w:val="00F268DB"/>
    <w:rsid w:val="00F27D81"/>
    <w:rsid w:val="00F27E86"/>
    <w:rsid w:val="00F3216A"/>
    <w:rsid w:val="00F3252A"/>
    <w:rsid w:val="00F32808"/>
    <w:rsid w:val="00F33DBD"/>
    <w:rsid w:val="00F35435"/>
    <w:rsid w:val="00F369B1"/>
    <w:rsid w:val="00F40112"/>
    <w:rsid w:val="00F4278F"/>
    <w:rsid w:val="00F44DCA"/>
    <w:rsid w:val="00F44EFC"/>
    <w:rsid w:val="00F50118"/>
    <w:rsid w:val="00F50769"/>
    <w:rsid w:val="00F5251E"/>
    <w:rsid w:val="00F5380C"/>
    <w:rsid w:val="00F53D18"/>
    <w:rsid w:val="00F57FD1"/>
    <w:rsid w:val="00F601BA"/>
    <w:rsid w:val="00F6085C"/>
    <w:rsid w:val="00F61844"/>
    <w:rsid w:val="00F6296D"/>
    <w:rsid w:val="00F63B7F"/>
    <w:rsid w:val="00F6500F"/>
    <w:rsid w:val="00F66DDA"/>
    <w:rsid w:val="00F705C0"/>
    <w:rsid w:val="00F70BB5"/>
    <w:rsid w:val="00F72B18"/>
    <w:rsid w:val="00F737C2"/>
    <w:rsid w:val="00F75534"/>
    <w:rsid w:val="00F80F19"/>
    <w:rsid w:val="00F81909"/>
    <w:rsid w:val="00F82ABC"/>
    <w:rsid w:val="00F84DED"/>
    <w:rsid w:val="00F857F1"/>
    <w:rsid w:val="00F8643F"/>
    <w:rsid w:val="00F86EA5"/>
    <w:rsid w:val="00F870B1"/>
    <w:rsid w:val="00F876D1"/>
    <w:rsid w:val="00F91493"/>
    <w:rsid w:val="00F918F9"/>
    <w:rsid w:val="00F940CE"/>
    <w:rsid w:val="00FA127A"/>
    <w:rsid w:val="00FA186A"/>
    <w:rsid w:val="00FA2FA1"/>
    <w:rsid w:val="00FA4834"/>
    <w:rsid w:val="00FA74AF"/>
    <w:rsid w:val="00FA7910"/>
    <w:rsid w:val="00FA7E46"/>
    <w:rsid w:val="00FB08E9"/>
    <w:rsid w:val="00FB0CBC"/>
    <w:rsid w:val="00FB1B07"/>
    <w:rsid w:val="00FB4058"/>
    <w:rsid w:val="00FB533A"/>
    <w:rsid w:val="00FB6DD8"/>
    <w:rsid w:val="00FB71F2"/>
    <w:rsid w:val="00FB768D"/>
    <w:rsid w:val="00FB7945"/>
    <w:rsid w:val="00FC0AE7"/>
    <w:rsid w:val="00FC1262"/>
    <w:rsid w:val="00FC35AA"/>
    <w:rsid w:val="00FC46BC"/>
    <w:rsid w:val="00FC52D9"/>
    <w:rsid w:val="00FD1A23"/>
    <w:rsid w:val="00FD1F6B"/>
    <w:rsid w:val="00FD2D20"/>
    <w:rsid w:val="00FD6E19"/>
    <w:rsid w:val="00FD72FD"/>
    <w:rsid w:val="00FD758E"/>
    <w:rsid w:val="00FD7E59"/>
    <w:rsid w:val="00FE211C"/>
    <w:rsid w:val="00FE2B09"/>
    <w:rsid w:val="00FE4FFA"/>
    <w:rsid w:val="00FE532D"/>
    <w:rsid w:val="00FE535B"/>
    <w:rsid w:val="00FE5F8B"/>
    <w:rsid w:val="00FE7FBF"/>
    <w:rsid w:val="00FF6277"/>
    <w:rsid w:val="01760E48"/>
    <w:rsid w:val="036852A3"/>
    <w:rsid w:val="036E0A3F"/>
    <w:rsid w:val="03846851"/>
    <w:rsid w:val="03CF7DCE"/>
    <w:rsid w:val="06C4349F"/>
    <w:rsid w:val="07807574"/>
    <w:rsid w:val="08240E0D"/>
    <w:rsid w:val="093C314A"/>
    <w:rsid w:val="0949063D"/>
    <w:rsid w:val="09F07711"/>
    <w:rsid w:val="0A356041"/>
    <w:rsid w:val="0A8505D8"/>
    <w:rsid w:val="0AC801F0"/>
    <w:rsid w:val="0AE64E7B"/>
    <w:rsid w:val="0B847508"/>
    <w:rsid w:val="0C5B5FC9"/>
    <w:rsid w:val="0CD47CD9"/>
    <w:rsid w:val="0EEC0710"/>
    <w:rsid w:val="0F236C6F"/>
    <w:rsid w:val="0FF717EC"/>
    <w:rsid w:val="11977BEC"/>
    <w:rsid w:val="120D6DEE"/>
    <w:rsid w:val="12AA555A"/>
    <w:rsid w:val="13121181"/>
    <w:rsid w:val="155904F6"/>
    <w:rsid w:val="158865BF"/>
    <w:rsid w:val="18A66D7E"/>
    <w:rsid w:val="19BA017D"/>
    <w:rsid w:val="19FC184A"/>
    <w:rsid w:val="1A266B62"/>
    <w:rsid w:val="1A82326C"/>
    <w:rsid w:val="1C0859B0"/>
    <w:rsid w:val="1C4A4608"/>
    <w:rsid w:val="1CD80753"/>
    <w:rsid w:val="201F47EE"/>
    <w:rsid w:val="20CA0750"/>
    <w:rsid w:val="226B4BA5"/>
    <w:rsid w:val="238C0232"/>
    <w:rsid w:val="24CE5A80"/>
    <w:rsid w:val="26432031"/>
    <w:rsid w:val="29307777"/>
    <w:rsid w:val="294302D7"/>
    <w:rsid w:val="295219EC"/>
    <w:rsid w:val="29D931E9"/>
    <w:rsid w:val="2A181B05"/>
    <w:rsid w:val="2AE242F1"/>
    <w:rsid w:val="2B382D56"/>
    <w:rsid w:val="2BF40F47"/>
    <w:rsid w:val="2D307E3F"/>
    <w:rsid w:val="2D4820F8"/>
    <w:rsid w:val="2EE8765A"/>
    <w:rsid w:val="2F930F7D"/>
    <w:rsid w:val="2F9715BF"/>
    <w:rsid w:val="3001303D"/>
    <w:rsid w:val="31007775"/>
    <w:rsid w:val="31A65EEE"/>
    <w:rsid w:val="31EB2BF7"/>
    <w:rsid w:val="3297088B"/>
    <w:rsid w:val="3362102D"/>
    <w:rsid w:val="36BF0B53"/>
    <w:rsid w:val="370E00A1"/>
    <w:rsid w:val="376323E0"/>
    <w:rsid w:val="397D2D4E"/>
    <w:rsid w:val="3A956E44"/>
    <w:rsid w:val="3AD44EB5"/>
    <w:rsid w:val="3AE12C53"/>
    <w:rsid w:val="3AE9392E"/>
    <w:rsid w:val="3B513D90"/>
    <w:rsid w:val="3C196A48"/>
    <w:rsid w:val="3CE3175E"/>
    <w:rsid w:val="3D920D3D"/>
    <w:rsid w:val="3F6F79F0"/>
    <w:rsid w:val="409049C7"/>
    <w:rsid w:val="40BC35C9"/>
    <w:rsid w:val="426C16A7"/>
    <w:rsid w:val="43343563"/>
    <w:rsid w:val="43DB58F7"/>
    <w:rsid w:val="46952A95"/>
    <w:rsid w:val="46DF06C5"/>
    <w:rsid w:val="47A371D8"/>
    <w:rsid w:val="47E51E1D"/>
    <w:rsid w:val="489974CB"/>
    <w:rsid w:val="4ACE17D3"/>
    <w:rsid w:val="4B6A2DE0"/>
    <w:rsid w:val="4C1E793A"/>
    <w:rsid w:val="4CC0700B"/>
    <w:rsid w:val="4EA9200D"/>
    <w:rsid w:val="4FE45EC0"/>
    <w:rsid w:val="4FF10530"/>
    <w:rsid w:val="506E4FF8"/>
    <w:rsid w:val="50DB2392"/>
    <w:rsid w:val="50E96C29"/>
    <w:rsid w:val="51592886"/>
    <w:rsid w:val="51DD7627"/>
    <w:rsid w:val="52EB4848"/>
    <w:rsid w:val="55511438"/>
    <w:rsid w:val="558F701B"/>
    <w:rsid w:val="56762FAC"/>
    <w:rsid w:val="56CF4879"/>
    <w:rsid w:val="575510EA"/>
    <w:rsid w:val="57750DFC"/>
    <w:rsid w:val="579E36EA"/>
    <w:rsid w:val="57D648FE"/>
    <w:rsid w:val="59121BA5"/>
    <w:rsid w:val="59195543"/>
    <w:rsid w:val="5A2F50F5"/>
    <w:rsid w:val="5AA242B4"/>
    <w:rsid w:val="5AB65E88"/>
    <w:rsid w:val="5C03088D"/>
    <w:rsid w:val="5CB42A56"/>
    <w:rsid w:val="5D601924"/>
    <w:rsid w:val="5D636B1A"/>
    <w:rsid w:val="5D801230"/>
    <w:rsid w:val="5DD464EC"/>
    <w:rsid w:val="60757C4E"/>
    <w:rsid w:val="6208249F"/>
    <w:rsid w:val="6315533E"/>
    <w:rsid w:val="63215B68"/>
    <w:rsid w:val="63EA0E4D"/>
    <w:rsid w:val="642748F6"/>
    <w:rsid w:val="64743DA8"/>
    <w:rsid w:val="67F6030C"/>
    <w:rsid w:val="684617BD"/>
    <w:rsid w:val="690539C7"/>
    <w:rsid w:val="692F4C7A"/>
    <w:rsid w:val="6C3B7EDD"/>
    <w:rsid w:val="6E0C235C"/>
    <w:rsid w:val="6E1E624F"/>
    <w:rsid w:val="6E780416"/>
    <w:rsid w:val="6ED618A4"/>
    <w:rsid w:val="6F8E15FF"/>
    <w:rsid w:val="707D3648"/>
    <w:rsid w:val="708064E7"/>
    <w:rsid w:val="72F111DE"/>
    <w:rsid w:val="736A12E7"/>
    <w:rsid w:val="744040EA"/>
    <w:rsid w:val="75892C08"/>
    <w:rsid w:val="760372DE"/>
    <w:rsid w:val="76A97B6B"/>
    <w:rsid w:val="780443F9"/>
    <w:rsid w:val="78457534"/>
    <w:rsid w:val="78A31220"/>
    <w:rsid w:val="78FD4CC6"/>
    <w:rsid w:val="7A1672BE"/>
    <w:rsid w:val="7A182149"/>
    <w:rsid w:val="7A943735"/>
    <w:rsid w:val="7ADB17C3"/>
    <w:rsid w:val="7C0B5E5C"/>
    <w:rsid w:val="7DBB2AE0"/>
    <w:rsid w:val="7E344512"/>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9"/>
    <w:unhideWhenUsed/>
    <w:qFormat/>
    <w:uiPriority w:val="99"/>
    <w:pPr>
      <w:jc w:val="left"/>
    </w:pPr>
    <w:rPr>
      <w:rFonts w:ascii="等线" w:hAnsi="等线" w:eastAsia="等线" w:cs="黑体"/>
      <w:szCs w:val="22"/>
    </w:rPr>
  </w:style>
  <w:style w:type="paragraph" w:styleId="3">
    <w:name w:val="Balloon Text"/>
    <w:basedOn w:val="1"/>
    <w:link w:val="20"/>
    <w:qFormat/>
    <w:uiPriority w:val="0"/>
    <w:rPr>
      <w:sz w:val="18"/>
      <w:szCs w:val="18"/>
    </w:rPr>
  </w:style>
  <w:style w:type="paragraph" w:styleId="4">
    <w:name w:val="footer"/>
    <w:basedOn w:val="1"/>
    <w:link w:val="18"/>
    <w:qFormat/>
    <w:uiPriority w:val="0"/>
    <w:pPr>
      <w:tabs>
        <w:tab w:val="center" w:pos="4153"/>
        <w:tab w:val="right" w:pos="8306"/>
      </w:tabs>
      <w:snapToGrid w:val="0"/>
      <w:jc w:val="left"/>
    </w:pPr>
    <w:rPr>
      <w:sz w:val="18"/>
      <w:szCs w:val="18"/>
    </w:rPr>
  </w:style>
  <w:style w:type="paragraph" w:styleId="5">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21"/>
    <w:qFormat/>
    <w:uiPriority w:val="0"/>
    <w:rPr>
      <w:rFonts w:asciiTheme="minorHAnsi" w:hAnsiTheme="minorHAnsi" w:eastAsiaTheme="minorEastAsia" w:cstheme="minorBidi"/>
      <w:b/>
      <w:bCs/>
      <w:szCs w:val="24"/>
    </w:rPr>
  </w:style>
  <w:style w:type="table" w:styleId="8">
    <w:name w:val="Table Grid"/>
    <w:basedOn w:val="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basedOn w:val="9"/>
    <w:qFormat/>
    <w:uiPriority w:val="0"/>
    <w:rPr>
      <w:color w:val="0563C1" w:themeColor="hyperlink"/>
      <w:u w:val="single"/>
      <w14:textFill>
        <w14:solidFill>
          <w14:schemeClr w14:val="hlink"/>
        </w14:solidFill>
      </w14:textFill>
    </w:rPr>
  </w:style>
  <w:style w:type="character" w:styleId="11">
    <w:name w:val="annotation reference"/>
    <w:basedOn w:val="9"/>
    <w:qFormat/>
    <w:uiPriority w:val="0"/>
    <w:rPr>
      <w:sz w:val="21"/>
      <w:szCs w:val="21"/>
    </w:rPr>
  </w:style>
  <w:style w:type="paragraph" w:customStyle="1" w:styleId="12">
    <w:name w:val="列表段落1"/>
    <w:basedOn w:val="1"/>
    <w:qFormat/>
    <w:uiPriority w:val="99"/>
    <w:pPr>
      <w:ind w:firstLine="420" w:firstLineChars="200"/>
    </w:pPr>
  </w:style>
  <w:style w:type="paragraph" w:customStyle="1" w:styleId="13">
    <w:name w:val="列出段落1"/>
    <w:basedOn w:val="1"/>
    <w:qFormat/>
    <w:uiPriority w:val="99"/>
    <w:pPr>
      <w:ind w:firstLine="420" w:firstLineChars="200"/>
    </w:pPr>
    <w:rPr>
      <w:rFonts w:ascii="Calibri" w:hAnsi="Calibri" w:eastAsia="宋体" w:cs="黑体"/>
    </w:rPr>
  </w:style>
  <w:style w:type="paragraph" w:customStyle="1" w:styleId="14">
    <w:name w:val="列出段落4"/>
    <w:basedOn w:val="1"/>
    <w:qFormat/>
    <w:uiPriority w:val="99"/>
    <w:pPr>
      <w:ind w:firstLine="420" w:firstLineChars="200"/>
    </w:pPr>
    <w:rPr>
      <w:rFonts w:ascii="等线" w:hAnsi="等线" w:eastAsia="等线" w:cs="黑体"/>
      <w:szCs w:val="22"/>
    </w:rPr>
  </w:style>
  <w:style w:type="paragraph" w:customStyle="1" w:styleId="15">
    <w:name w:val="列出段落7"/>
    <w:basedOn w:val="1"/>
    <w:qFormat/>
    <w:uiPriority w:val="99"/>
    <w:pPr>
      <w:ind w:firstLine="420" w:firstLineChars="200"/>
    </w:pPr>
    <w:rPr>
      <w:rFonts w:ascii="等线" w:hAnsi="等线" w:eastAsia="等线" w:cs="黑体"/>
      <w:szCs w:val="22"/>
    </w:rPr>
  </w:style>
  <w:style w:type="character" w:customStyle="1" w:styleId="16">
    <w:name w:val="未处理的提及1"/>
    <w:basedOn w:val="9"/>
    <w:unhideWhenUsed/>
    <w:qFormat/>
    <w:uiPriority w:val="99"/>
    <w:rPr>
      <w:color w:val="605E5C"/>
      <w:shd w:val="clear" w:color="auto" w:fill="E1DFDD"/>
    </w:rPr>
  </w:style>
  <w:style w:type="character" w:customStyle="1" w:styleId="17">
    <w:name w:val="页眉 字符"/>
    <w:basedOn w:val="9"/>
    <w:link w:val="5"/>
    <w:qFormat/>
    <w:uiPriority w:val="0"/>
    <w:rPr>
      <w:kern w:val="2"/>
      <w:sz w:val="18"/>
      <w:szCs w:val="18"/>
    </w:rPr>
  </w:style>
  <w:style w:type="character" w:customStyle="1" w:styleId="18">
    <w:name w:val="页脚 字符"/>
    <w:basedOn w:val="9"/>
    <w:link w:val="4"/>
    <w:qFormat/>
    <w:uiPriority w:val="0"/>
    <w:rPr>
      <w:kern w:val="2"/>
      <w:sz w:val="18"/>
      <w:szCs w:val="18"/>
    </w:rPr>
  </w:style>
  <w:style w:type="character" w:customStyle="1" w:styleId="19">
    <w:name w:val="批注文字 字符"/>
    <w:basedOn w:val="9"/>
    <w:link w:val="2"/>
    <w:qFormat/>
    <w:uiPriority w:val="99"/>
    <w:rPr>
      <w:rFonts w:ascii="等线" w:hAnsi="等线" w:eastAsia="等线" w:cs="黑体"/>
      <w:kern w:val="2"/>
      <w:sz w:val="21"/>
      <w:szCs w:val="22"/>
    </w:rPr>
  </w:style>
  <w:style w:type="character" w:customStyle="1" w:styleId="20">
    <w:name w:val="批注框文本 字符"/>
    <w:basedOn w:val="9"/>
    <w:link w:val="3"/>
    <w:qFormat/>
    <w:uiPriority w:val="0"/>
    <w:rPr>
      <w:kern w:val="2"/>
      <w:sz w:val="18"/>
      <w:szCs w:val="18"/>
    </w:rPr>
  </w:style>
  <w:style w:type="character" w:customStyle="1" w:styleId="21">
    <w:name w:val="批注主题 字符"/>
    <w:basedOn w:val="19"/>
    <w:link w:val="6"/>
    <w:qFormat/>
    <w:uiPriority w:val="0"/>
    <w:rPr>
      <w:rFonts w:ascii="等线" w:hAnsi="等线" w:eastAsia="等线" w:cs="黑体"/>
      <w:b/>
      <w:bCs/>
      <w:kern w:val="2"/>
      <w:sz w:val="21"/>
      <w:szCs w:val="24"/>
    </w:rPr>
  </w:style>
  <w:style w:type="paragraph" w:customStyle="1" w:styleId="22">
    <w:name w:val="List Paragraph2"/>
    <w:basedOn w:val="1"/>
    <w:qFormat/>
    <w:uiPriority w:val="99"/>
    <w:pPr>
      <w:ind w:firstLine="420" w:firstLineChars="200"/>
    </w:pPr>
  </w:style>
  <w:style w:type="paragraph" w:customStyle="1" w:styleId="23">
    <w:name w:val="修订1"/>
    <w:hidden/>
    <w:semiHidden/>
    <w:qFormat/>
    <w:uiPriority w:val="99"/>
    <w:rPr>
      <w:rFonts w:asciiTheme="minorHAnsi" w:hAnsiTheme="minorHAnsi" w:eastAsiaTheme="minorEastAsia" w:cstheme="minorBidi"/>
      <w:kern w:val="2"/>
      <w:sz w:val="21"/>
      <w:szCs w:val="24"/>
      <w:lang w:val="en-US" w:eastAsia="zh-CN" w:bidi="ar-SA"/>
    </w:rPr>
  </w:style>
  <w:style w:type="paragraph" w:styleId="24">
    <w:name w:val="List Paragraph"/>
    <w:basedOn w:val="1"/>
    <w:qFormat/>
    <w:uiPriority w:val="99"/>
    <w:pPr>
      <w:ind w:firstLine="420" w:firstLineChars="200"/>
    </w:pPr>
  </w:style>
  <w:style w:type="paragraph" w:customStyle="1" w:styleId="25">
    <w:name w:val="修订2"/>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6">
    <w:name w:val="修订3"/>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7">
    <w:name w:val="修订4"/>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8">
    <w:name w:val="修订5"/>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29">
    <w:name w:val="未处理的提及2"/>
    <w:basedOn w:val="9"/>
    <w:semiHidden/>
    <w:unhideWhenUsed/>
    <w:qFormat/>
    <w:uiPriority w:val="99"/>
    <w:rPr>
      <w:color w:val="605E5C"/>
      <w:shd w:val="clear" w:color="auto" w:fill="E1DFDD"/>
    </w:rPr>
  </w:style>
  <w:style w:type="paragraph" w:customStyle="1" w:styleId="30">
    <w:name w:val="修订6"/>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31">
    <w:name w:val="修订7"/>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32">
    <w:name w:val="Revision"/>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F9B6D-29BE-4848-91D7-7723A74C4849}">
  <ds:schemaRefs/>
</ds:datastoreItem>
</file>

<file path=docProps/app.xml><?xml version="1.0" encoding="utf-8"?>
<Properties xmlns="http://schemas.openxmlformats.org/officeDocument/2006/extended-properties" xmlns:vt="http://schemas.openxmlformats.org/officeDocument/2006/docPropsVTypes">
  <Template>Normal</Template>
  <Pages>18</Pages>
  <Words>11986</Words>
  <Characters>12478</Characters>
  <Lines>370</Lines>
  <Paragraphs>337</Paragraphs>
  <TotalTime>486</TotalTime>
  <ScaleCrop>false</ScaleCrop>
  <LinksUpToDate>false</LinksUpToDate>
  <CharactersWithSpaces>12492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2023-07-07T08:01:00Z</dcterms:created>
  <dc:creator>limeng001</dc:creator>
  <cp:lastModifiedBy>guowenrong</cp:lastModifiedBy>
  <dcterms:modified xsi:type="dcterms:W3CDTF">2025-09-04T14:58:10Z</dcterms:modified>
  <cp:revision>1048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2C970641C5624C20A71A854AA0FC001D</vt:lpwstr>
  </property>
  <property fmtid="{D5CDD505-2E9C-101B-9397-08002B2CF9AE}" pid="4" name="KSOTemplateDocerSaveRecord">
    <vt:lpwstr>eyJoZGlkIjoiOGI4NjI5OTBmMDM1ODFlMDkzNDFlZTFiMWNhZWU5ZTMiLCJ1c2VySWQiOiI5MTcwNjgxNzcifQ==</vt:lpwstr>
  </property>
</Properties>
</file>